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after="0" w:line="500" w:lineRule="exact"/>
        <w:jc w:val="center"/>
        <w:rPr>
          <w:rFonts w:ascii="华文中宋" w:eastAsia="华文中宋" w:cs="方正小标宋简体" w:hAnsi="华文中宋" w:hint="eastAsia"/>
          <w:color w:val="000000"/>
          <w:sz w:val="36"/>
          <w:szCs w:val="36"/>
        </w:rPr>
      </w:pPr>
      <w:r>
        <w:rPr>
          <w:rFonts w:ascii="Nimbus Roman No9 L" w:eastAsia="仿宋_GB2312" w:cs="Nimbus Roman No9 L" w:hAnsi="Nimbus Roman No9 L"/>
          <w:sz w:val="28"/>
          <w:szCs w:val="28"/>
          <w:u w:val="none"/>
        </w:rPr>
        <w:t xml:space="preserve">  </w:t>
      </w:r>
      <w:r>
        <w:rPr>
          <w:rFonts w:ascii="华文中宋" w:eastAsia="华文中宋" w:cs="方正小标宋简体" w:hAnsi="华文中宋"/>
          <w:color w:val="000000"/>
          <w:sz w:val="36"/>
          <w:szCs w:val="36"/>
        </w:rPr>
        <w:t>上饶市融媒体中心2025</w:t>
      </w:r>
      <w:r>
        <w:rPr>
          <w:rFonts w:ascii="华文中宋" w:eastAsia="华文中宋" w:cs="方正小标宋简体" w:hAnsi="华文中宋" w:hint="eastAsia"/>
          <w:color w:val="000000"/>
          <w:sz w:val="36"/>
          <w:szCs w:val="36"/>
        </w:rPr>
        <w:t>年度江西广播电视奖——</w:t>
      </w:r>
    </w:p>
    <w:p>
      <w:pPr>
        <w:spacing w:after="0" w:line="500" w:lineRule="exact"/>
        <w:jc w:val="center"/>
        <w:rPr>
          <w:rFonts w:ascii="华文中宋" w:eastAsia="华文中宋" w:cs="方正小标宋简体" w:hAnsi="华文中宋" w:hint="eastAsia"/>
          <w:color w:val="000000"/>
          <w:sz w:val="36"/>
          <w:szCs w:val="36"/>
        </w:rPr>
      </w:pPr>
      <w:r>
        <w:rPr>
          <w:rFonts w:ascii="华文中宋" w:eastAsia="华文中宋" w:cs="方正小标宋简体" w:hAnsi="华文中宋" w:hint="eastAsia"/>
          <w:color w:val="000000"/>
          <w:sz w:val="36"/>
          <w:szCs w:val="36"/>
        </w:rPr>
        <w:t>优秀广播新闻节目参评作品总目录</w:t>
      </w:r>
    </w:p>
    <w:p>
      <w:pPr>
        <w:spacing w:after="0" w:line="500" w:lineRule="exact"/>
        <w:jc w:val="center"/>
        <w:rPr>
          <w:rFonts w:ascii="华文中宋" w:eastAsia="华文中宋" w:cs="方正小标宋简体" w:hAnsi="华文中宋" w:hint="eastAsia"/>
          <w:color w:val="000000"/>
          <w:sz w:val="36"/>
          <w:szCs w:val="36"/>
        </w:rPr>
      </w:pPr>
    </w:p>
    <w:tbl>
      <w:tblPr>
        <w:jc w:val="center"/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022"/>
        <w:gridCol w:w="1533"/>
        <w:gridCol w:w="747"/>
        <w:gridCol w:w="474"/>
        <w:gridCol w:w="425"/>
        <w:gridCol w:w="1519"/>
        <w:gridCol w:w="1301"/>
        <w:gridCol w:w="1211"/>
        <w:gridCol w:w="715"/>
        <w:gridCol w:w="925"/>
      </w:tblGrid>
      <w:t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  <w:t>作品</w:t>
            </w: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  <w:t>标</w:t>
            </w: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  <w:t>题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  <w:t>参评项目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华文中宋" w:eastAsia="华文中宋" w:cs="Times New Roman" w:hAnsi="华文中宋" w:hint="eastAsia"/>
                <w:color w:val="000000"/>
                <w:sz w:val="24"/>
                <w:szCs w:val="24"/>
                <w:lang w:eastAsia="zh-CN"/>
              </w:rPr>
              <w:t>原创</w:t>
            </w: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cs="Times New Roman" w:hAnsi="华文中宋" w:hint="eastAsia"/>
                <w:color w:val="000000"/>
                <w:sz w:val="24"/>
                <w:szCs w:val="24"/>
                <w:lang w:eastAsia="zh-CN"/>
              </w:rPr>
              <w:t>主创人员</w:t>
            </w:r>
          </w:p>
        </w:tc>
        <w:tc>
          <w:tcPr>
            <w:tcW w:w="1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</w:rPr>
              <w:t>编辑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  <w:t>时长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华文中宋" w:eastAsia="华文中宋" w:cs="Times New Roman" w:hAnsi="华文中宋"/>
                <w:color w:val="000000"/>
                <w:sz w:val="24"/>
                <w:szCs w:val="24"/>
                <w:lang w:eastAsia="zh-CN"/>
              </w:rPr>
              <w:t>专门类备注</w:t>
            </w:r>
          </w:p>
        </w:tc>
      </w:tr>
      <w:t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Times New Roman" w:eastAsia="仿宋_GB2312" w:cs="Nimbus Roman No9 L" w:hAnsi="Times New Roman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A1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>
            <w:pPr>
              <w:spacing w:line="260" w:lineRule="exact"/>
              <w:rPr>
                <w:rFonts w:ascii="仿宋" w:eastAsia="仿宋" w:cs="仿宋" w:hAnsi="仿宋"/>
                <w:color w:val="000000"/>
                <w:sz w:val="21"/>
                <w:szCs w:val="21"/>
                <w:lang w:bidi="ar-SA"/>
              </w:rPr>
            </w:pPr>
            <w:r>
              <w:rPr>
                <w:rFonts w:ascii="仿宋" w:eastAsia="仿宋" w:cs="仿宋" w:hAnsi="仿宋" w:hint="eastAsia"/>
                <w:sz w:val="21"/>
                <w:szCs w:val="21"/>
              </w:rPr>
              <w:t>从“二傻子”到“老把式”，田野需要怎样的青春？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评论</w:t>
            </w:r>
            <w:bookmarkStart w:id="0" w:name="_GoBack"/>
            <w:bookmarkEnd w:id="0"/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260" w:lineRule="exact"/>
              <w:rPr>
                <w:rFonts w:ascii="仿宋" w:eastAsia="仿宋" w:cs="仿宋" w:hAnsi="仿宋"/>
                <w:color w:val="000000"/>
                <w:sz w:val="21"/>
                <w:szCs w:val="21"/>
                <w:lang w:bidi="ar-SA"/>
              </w:rPr>
            </w:pPr>
            <w:r>
              <w:rPr>
                <w:rFonts w:ascii="仿宋" w:eastAsia="仿宋" w:cs="仿宋" w:hAnsi="仿宋"/>
                <w:color w:val="000000"/>
                <w:sz w:val="21"/>
                <w:szCs w:val="21"/>
                <w:lang w:bidi="ar-SA"/>
              </w:rPr>
              <w:t>上饶市融媒体中心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color w:val="000000"/>
                <w:sz w:val="21"/>
                <w:szCs w:val="21"/>
                <w:lang w:bidi="ar-SA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朱彦、陈华英、龚俊慧、罗通</w:t>
            </w: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color w:val="000000"/>
                <w:sz w:val="21"/>
                <w:szCs w:val="21"/>
                <w:lang w:bidi="ar-SA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/>
              </w:rPr>
              <w:t>吴汉、孙志红、余超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val="en-US" w:eastAsia="zh-CN"/>
              </w:rPr>
              <w:t>8分50秒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/>
                <w:sz w:val="21"/>
                <w:szCs w:val="21"/>
              </w:rPr>
            </w:pPr>
          </w:p>
        </w:tc>
      </w:tr>
      <w:t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B1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>
            <w:pPr>
              <w:spacing w:line="260" w:lineRule="exact"/>
              <w:rPr>
                <w:rFonts w:ascii="仿宋" w:eastAsia="仿宋" w:cs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bidi="ar-SA"/>
              </w:rPr>
              <w:t>两元餐香浙赣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bidi="ar-SA"/>
              </w:rPr>
              <w:t>跨省小食堂撬动区域发展大棋局</w:t>
            </w: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专题</w:t>
            </w: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260" w:lineRule="exact"/>
              <w:rPr>
                <w:rFonts w:ascii="仿宋" w:eastAsia="仿宋" w:cs="仿宋" w:hAnsi="仿宋" w:hint="eastAsia"/>
                <w:color w:val="000000"/>
                <w:sz w:val="21"/>
                <w:szCs w:val="21"/>
                <w:lang w:bidi="ar-SA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bidi="ar-SA"/>
              </w:rPr>
              <w:t>江西广播电视台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val="en-US" w:eastAsia="zh-CN" w:bidi="ar-SA"/>
              </w:rPr>
              <w:t>上饶市融媒体中心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bidi="ar-SA"/>
              </w:rPr>
              <w:t>黄肇、周青松、张和海</w:t>
            </w: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bidi="ar-SA"/>
              </w:rPr>
              <w:t>李先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eastAsia="zh-CN" w:bidi="ar-SA"/>
              </w:rPr>
              <w:t>、</w:t>
            </w:r>
            <w:r>
              <w:rPr>
                <w:rFonts w:ascii="仿宋" w:eastAsia="仿宋" w:cs="仿宋" w:hAnsi="仿宋" w:hint="eastAsia"/>
                <w:color w:val="000000"/>
                <w:sz w:val="21"/>
                <w:szCs w:val="21"/>
                <w:lang w:bidi="ar-SA"/>
              </w:rPr>
              <w:t>陈静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  <w:r>
              <w:rPr>
                <w:rFonts w:ascii="仿宋" w:eastAsia="仿宋" w:cs="仿宋" w:hAnsi="仿宋"/>
                <w:sz w:val="21"/>
                <w:szCs w:val="21"/>
              </w:rPr>
              <w:t>5分49秒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B2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B3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B4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B5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B6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c>
          <w:tcPr>
            <w:tcW w:w="1022" w:type="dxa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Times New Roman" w:eastAsia="仿宋_GB2312" w:cs="Nimbus Roman No9 L" w:hAnsi="Times New Roman"/>
                <w:sz w:val="24"/>
                <w:szCs w:val="24"/>
              </w:rPr>
              <w:t>B7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945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301" w:type="dxa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</w:tc>
      </w:tr>
      <w:t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意见</w:t>
            </w:r>
          </w:p>
        </w:tc>
        <w:tc>
          <w:tcPr>
            <w:tcW w:w="8850" w:type="dxa"/>
            <w:gridSpan w:val="9"/>
            <w:tcBorders>
              <w:left w:val="single" w:sz="4" w:space="0" w:color="auto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ascii="仿宋" w:eastAsia="仿宋" w:cs="仿宋" w:hAnsi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ascii="仿宋" w:eastAsia="仿宋" w:cs="仿宋" w:hAnsi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ascii="仿宋" w:eastAsia="仿宋" w:cs="仿宋" w:hAnsi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00" w:lineRule="exact"/>
              <w:textAlignment w:val="auto"/>
              <w:rPr>
                <w:rFonts w:ascii="仿宋" w:eastAsia="仿宋" w:cs="仿宋" w:hAnsi="仿宋"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Chars="150" w:firstLine="360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单位负责人签名：     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 xml:space="preserve">                           年   月    日</w:t>
            </w:r>
          </w:p>
        </w:tc>
      </w:tr>
      <w:t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-51" w:left="-163" w:rightChars="-101" w:right="-323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Chars="-51" w:left="-163" w:rightChars="-101" w:right="-323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联系人</w:t>
            </w:r>
          </w:p>
        </w:tc>
        <w:tc>
          <w:tcPr>
            <w:tcW w:w="2281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/>
                <w:sz w:val="21"/>
                <w:szCs w:val="21"/>
              </w:rPr>
              <w:t>陈思思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/>
                <w:sz w:val="21"/>
                <w:szCs w:val="21"/>
              </w:rPr>
              <w:t>联系电话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/>
                <w:sz w:val="21"/>
                <w:szCs w:val="21"/>
              </w:rPr>
              <w:t>0793</w:t>
            </w:r>
            <w:r>
              <w:rPr>
                <w:rFonts w:ascii="Nimbus Roman No9 L" w:eastAsia="仿宋_GB2312" w:cs="Nimbus Roman No9 L" w:hAnsi="Nimbus Roman No9 L" w:hint="eastAsia"/>
                <w:sz w:val="21"/>
                <w:szCs w:val="21"/>
              </w:rPr>
              <w:t>—</w:t>
            </w:r>
            <w:r>
              <w:rPr>
                <w:rFonts w:ascii="Nimbus Roman No9 L" w:eastAsia="仿宋_GB2312" w:cs="Nimbus Roman No9 L" w:hAnsi="Nimbus Roman No9 L"/>
                <w:sz w:val="21"/>
                <w:szCs w:val="21"/>
              </w:rPr>
              <w:t>8300711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/>
                <w:sz w:val="21"/>
                <w:szCs w:val="21"/>
              </w:rPr>
              <w:t>手机</w:t>
            </w:r>
          </w:p>
        </w:tc>
        <w:tc>
          <w:tcPr>
            <w:tcW w:w="2851" w:type="dxa"/>
            <w:gridSpan w:val="3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/>
                <w:sz w:val="21"/>
                <w:szCs w:val="21"/>
              </w:rPr>
              <w:t>13755356161</w:t>
            </w:r>
          </w:p>
        </w:tc>
      </w:tr>
      <w:tr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4"/>
                <w:szCs w:val="24"/>
              </w:rPr>
            </w:pPr>
            <w:r>
              <w:rPr>
                <w:rFonts w:ascii="Nimbus Roman No9 L" w:eastAsia="仿宋_GB2312" w:cs="Nimbus Roman No9 L" w:hAnsi="Nimbus Roman No9 L"/>
                <w:sz w:val="24"/>
                <w:szCs w:val="24"/>
              </w:rPr>
              <w:t>地址</w:t>
            </w:r>
          </w:p>
        </w:tc>
        <w:tc>
          <w:tcPr>
            <w:tcW w:w="4699" w:type="dxa"/>
            <w:gridSpan w:val="5"/>
            <w:tcBorders>
              <w:left w:val="single" w:sz="4" w:space="0" w:color="auto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/>
                <w:sz w:val="21"/>
                <w:szCs w:val="21"/>
              </w:rPr>
              <w:t>上饶市广信大道98号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Nimbus Roman No9 L" w:eastAsia="仿宋_GB2312" w:cs="Nimbus Roman No9 L" w:hAnsi="Nimbus Roman No9 L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/>
                <w:sz w:val="21"/>
                <w:szCs w:val="21"/>
              </w:rPr>
              <w:t>邮编</w:t>
            </w:r>
          </w:p>
        </w:tc>
        <w:tc>
          <w:tcPr>
            <w:tcW w:w="2851" w:type="dxa"/>
            <w:gridSpan w:val="3"/>
            <w:tcBorders>
              <w:left w:val="single" w:sz="4" w:space="0" w:color="auto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Nimbus Roman No9 L" w:eastAsia="仿宋_GB2312" w:cs="Nimbus Roman No9 L" w:hAnsi="Nimbus Roman No9 L"/>
                <w:sz w:val="21"/>
                <w:szCs w:val="21"/>
              </w:rPr>
            </w:pPr>
            <w:r>
              <w:rPr>
                <w:rFonts w:ascii="Nimbus Roman No9 L" w:eastAsia="仿宋_GB2312" w:cs="Nimbus Roman No9 L" w:hAnsi="Nimbus Roman No9 L"/>
                <w:sz w:val="21"/>
                <w:szCs w:val="21"/>
              </w:rPr>
              <w:t>334000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20" w:hangingChars="300" w:hanging="720"/>
        <w:textAlignment w:val="auto"/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  <w:lang w:val="en-US" w:eastAsia="zh-CN"/>
        </w:rPr>
      </w:pP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</w:rPr>
        <w:t>备注：</w:t>
      </w:r>
      <w:r>
        <w:rPr>
          <w:rFonts w:ascii="Times New Roman" w:eastAsia="仿宋_GB2312" w:cs="Nimbus Roman No9 L" w:hAnsi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  <w:lang w:val="en-US" w:eastAsia="zh-CN"/>
        </w:rPr>
        <w:t>.参评作品如属于以下专门类别之一，请在“专门类备注”栏中标注：重大主题报道、国际传播、典型报道、舆论监督报道</w:t>
      </w:r>
      <w:r>
        <w:rPr>
          <w:rFonts w:ascii="Nimbus Roman No9 L" w:eastAsia="仿宋_GB2312" w:cs="Nimbus Roman No9 L" w:hAnsi="Nimbus Roman No9 L" w:hint="eastAsia"/>
          <w:color w:val="000000"/>
          <w:kern w:val="0"/>
          <w:sz w:val="24"/>
          <w:szCs w:val="24"/>
          <w:lang w:val="en-US" w:eastAsia="zh-CN"/>
        </w:rPr>
        <w:t>、融合报道，融合报道在总目录中以首发平台确定分类体裁；对港澳台节目、对外新闻。</w:t>
      </w: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  <w:lang w:val="en-US" w:eastAsia="zh-CN"/>
        </w:rPr>
        <w:t>不属于或不参评上述</w:t>
      </w:r>
      <w:r>
        <w:rPr>
          <w:rFonts w:eastAsia="仿宋_GB2312" w:cs="Nimbus Roman No9 L" w:hint="eastAsia"/>
          <w:color w:val="000000"/>
          <w:kern w:val="0"/>
          <w:sz w:val="24"/>
          <w:szCs w:val="24"/>
          <w:lang w:val="en-US" w:eastAsia="zh-CN"/>
        </w:rPr>
        <w:t>专门类别</w:t>
      </w: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  <w:lang w:val="en-US" w:eastAsia="zh-CN"/>
        </w:rPr>
        <w:t>，不用填写。</w:t>
      </w:r>
    </w:p>
    <w:p>
      <w:pPr>
        <w:ind w:firstLineChars="300" w:firstLine="720"/>
      </w:pPr>
      <w:r>
        <w:rPr>
          <w:rFonts w:ascii="Times New Roman" w:eastAsia="仿宋_GB2312" w:cs="Nimbus Roman No9 L" w:hAnsi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ascii="Nimbus Roman No9 L" w:eastAsia="仿宋_GB2312" w:cs="Nimbus Roman No9 L" w:hAnsi="Nimbus Roman No9 L"/>
          <w:color w:val="000000"/>
          <w:kern w:val="0"/>
          <w:sz w:val="24"/>
          <w:szCs w:val="24"/>
        </w:rPr>
        <w:t>此表序号栏可根据报送指标增减。</w:t>
      </w:r>
    </w:p>
    <w:p/>
    <w:sectPr>
      <w:pgSz w:w="11906" w:h="16838"/>
      <w:pgMar w:top="1440" w:right="1800" w:bottom="1440" w:left="1800" w:header="851" w:footer="992" w:gutter="0"/>
      <w:cols w:num="1" w:space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Nimbus Roman No9 L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华文中宋">
    <w:altName w:val="华文仿宋"/>
    <w:panose1 w:val="02010600040101010101"/>
    <w:charset w:val="00"/>
    <w:family w:val="auto"/>
    <w:pitch w:val="variable"/>
    <w:sig w:usb0="00000000" w:usb1="00000000" w:usb2="00000000" w:usb3="00000000" w:csb0="0004009F" w:csb1="DFD7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">
    <w:altName w:val="方正仿宋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阳光吾坚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2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方正兰亭黑_GBK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E0D7A2D7-AFF3-439E-A81B-89D813B592D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16</TotalTime>
  <Application>WPS_Yozo_Office9.0.5560.191ZH</Application>
  <Pages>1</Pages>
  <Words>0</Words>
  <Characters>427</Characters>
  <Lines>0</Lines>
  <Paragraphs>7</Paragraphs>
  <CharactersWithSpaces>570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test</dc:creator>
  <cp:lastModifiedBy>huawei</cp:lastModifiedBy>
  <cp:revision>6</cp:revision>
  <cp:lastPrinted>2026-01-26T08:07:52Z</cp:lastPrinted>
  <dcterms:created xsi:type="dcterms:W3CDTF">2026-01-10T00:29:00Z</dcterms:created>
  <dcterms:modified xsi:type="dcterms:W3CDTF">2026-01-26T08:07:59Z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2052-11.8.2.10229</vt:lpwstr>
  </property>
</Properties>
</file>