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pacing w:line="500" w:lineRule="exact"/>
        <w:rPr>
          <w:rFonts w:ascii="Nimbus Roman No9 L" w:cs="Nimbus Roman No9 L" w:hAnsi="Nimbus Roman No9 L"/>
          <w:szCs w:val="32"/>
        </w:rPr>
      </w:pPr>
    </w:p>
    <w:p>
      <w:pPr>
        <w:adjustRightInd w:val="0"/>
        <w:spacing w:line="500" w:lineRule="exact"/>
        <w:jc w:val="center"/>
        <w:rPr>
          <w:rFonts w:ascii="方正小标宋简体" w:eastAsia="方正小标宋简体" w:cs="方正小标宋简体" w:hAnsi="方正小标宋简体" w:hint="eastAsia"/>
          <w:sz w:val="36"/>
          <w:szCs w:val="36"/>
        </w:rPr>
      </w:pPr>
      <w:r>
        <w:rPr>
          <w:rFonts w:eastAsia="方正小标宋简体" w:cs="方正小标宋简体"/>
          <w:sz w:val="36"/>
          <w:szCs w:val="36"/>
        </w:rPr>
        <w:t>2025</w:t>
      </w:r>
      <w:r>
        <w:rPr>
          <w:rFonts w:ascii="方正小标宋简体" w:eastAsia="方正小标宋简体" w:cs="方正小标宋简体" w:hAnsi="方正小标宋简体" w:hint="eastAsia"/>
          <w:sz w:val="36"/>
          <w:szCs w:val="36"/>
        </w:rPr>
        <w:t>年度江西广播电视奖</w:t>
      </w:r>
    </w:p>
    <w:p>
      <w:pPr>
        <w:adjustRightInd w:val="0"/>
        <w:spacing w:line="500" w:lineRule="exact"/>
        <w:jc w:val="center"/>
        <w:rPr>
          <w:rFonts w:ascii="Nimbus Roman No9 L" w:eastAsia="方正小标宋_GBK" w:cs="Nimbus Roman No9 L" w:hAnsi="Nimbus Roman No9 L"/>
          <w:sz w:val="36"/>
          <w:szCs w:val="36"/>
        </w:rPr>
      </w:pPr>
      <w:r>
        <w:rPr>
          <w:rFonts w:ascii="方正小标宋简体" w:eastAsia="方正小标宋简体" w:cs="方正小标宋简体" w:hAnsi="方正小标宋简体" w:hint="eastAsia"/>
          <w:sz w:val="36"/>
          <w:szCs w:val="36"/>
        </w:rPr>
        <w:t>——优秀播音主持作品参评作品总目录</w:t>
      </w:r>
    </w:p>
    <w:p>
      <w:pPr>
        <w:spacing w:line="600" w:lineRule="exact"/>
        <w:rPr>
          <w:rFonts w:ascii="Nimbus Roman No9 L" w:cs="Nimbus Roman No9 L" w:hAnsi="Nimbus Roman No9 L"/>
        </w:rPr>
      </w:pPr>
    </w:p>
    <w:tbl>
      <w:tblPr>
        <w:jc w:val="center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46"/>
        <w:gridCol w:w="1570"/>
        <w:gridCol w:w="2683"/>
        <w:gridCol w:w="161"/>
        <w:gridCol w:w="1089"/>
        <w:gridCol w:w="863"/>
        <w:gridCol w:w="1440"/>
        <w:gridCol w:w="1236"/>
      </w:tblGrid>
      <w:tr>
        <w:trPr>
          <w:trHeight w:val="66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序号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参评类别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作品</w:t>
            </w:r>
            <w:r>
              <w:rPr>
                <w:rFonts w:ascii="Nimbus Roman No9 L" w:eastAsia="仿宋_GB2312" w:cs="Nimbus Roman No9 L" w:hAnsi="Nimbus Roman No9 L"/>
                <w:szCs w:val="32"/>
                <w:lang w:eastAsia="zh-CN"/>
              </w:rPr>
              <w:t>标</w:t>
            </w:r>
            <w:r>
              <w:rPr>
                <w:rFonts w:ascii="Nimbus Roman No9 L" w:eastAsia="仿宋_GB2312" w:cs="Nimbus Roman No9 L" w:hAnsi="Nimbus Roman No9 L"/>
                <w:szCs w:val="32"/>
              </w:rPr>
              <w:t>题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创作单位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Cs w:val="32"/>
              </w:rPr>
            </w:pPr>
            <w:r>
              <w:rPr>
                <w:rFonts w:ascii="Nimbus Roman No9 L" w:eastAsia="仿宋_GB2312" w:cs="Nimbus Roman No9 L" w:hAnsi="Nimbus Roman No9 L"/>
                <w:szCs w:val="32"/>
              </w:rPr>
              <w:t>作者</w:t>
            </w:r>
          </w:p>
        </w:tc>
        <w:tc>
          <w:tcPr>
            <w:tcW w:w="123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 w:hint="eastAsia"/>
                <w:szCs w:val="32"/>
                <w:lang w:eastAsia="zh-CN"/>
              </w:rPr>
            </w:pPr>
            <w:r>
              <w:rPr>
                <w:rFonts w:ascii="Nimbus Roman No9 L" w:eastAsia="仿宋_GB2312" w:cs="Nimbus Roman No9 L" w:hAnsi="Nimbus Roman No9 L" w:hint="eastAsia"/>
                <w:szCs w:val="32"/>
                <w:lang w:eastAsia="zh-CN"/>
              </w:rPr>
              <w:t>时长</w:t>
            </w:r>
          </w:p>
        </w:tc>
      </w:tr>
      <w:tr>
        <w:trPr>
          <w:trHeight w:val="306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1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广播播音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音乐旅途+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上饶市融媒体中心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杨</w:t>
            </w: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 xml:space="preserve">  </w:t>
            </w: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超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cs="仿宋" w:hAnsi="仿宋"/>
                <w:sz w:val="21"/>
                <w:szCs w:val="21"/>
                <w:lang w:val="en-US" w:eastAsia="zh-CN"/>
              </w:rPr>
              <w:t>13分52秒</w:t>
            </w:r>
          </w:p>
        </w:tc>
      </w:tr>
      <w:tr>
        <w:trPr>
          <w:trHeight w:val="306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2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电视主持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上饶City Walk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李劲熠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18秒</w:t>
            </w:r>
          </w:p>
        </w:tc>
      </w:tr>
      <w:tr>
        <w:trPr>
          <w:trHeight w:val="306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3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电视播音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Heiti SC Medium" w:eastAsia="Heiti SC Medium" w:cs="Nimbus Roman No9 L" w:hAnsi="Heiti SC Medium" w:hint="eastAsia"/>
                <w:sz w:val="21"/>
                <w:szCs w:val="21"/>
              </w:rPr>
              <w:t>法润上饶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饶志骞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7</w:t>
            </w: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分</w:t>
            </w: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56秒</w:t>
            </w:r>
          </w:p>
        </w:tc>
      </w:tr>
      <w:tr>
        <w:trPr>
          <w:trHeight w:val="17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4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电视主持</w:t>
            </w: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解锁上饶100条街巷：庆丰路</w:t>
            </w: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上饶市融媒体中心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徐伊畅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6分4秒</w:t>
            </w:r>
            <w:bookmarkStart w:id="0" w:name="_GoBack"/>
            <w:bookmarkEnd w:id="0"/>
          </w:p>
        </w:tc>
      </w:tr>
      <w:tr>
        <w:trPr>
          <w:trHeight w:val="21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1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1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1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210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2844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rPr>
          <w:trHeight w:val="3077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推荐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单位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意见</w:t>
            </w:r>
          </w:p>
        </w:tc>
        <w:tc>
          <w:tcPr>
            <w:tcW w:w="9042" w:type="dxa"/>
            <w:gridSpan w:val="7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</w:p>
          <w:p>
            <w:pPr>
              <w:adjustRightInd w:val="0"/>
              <w:spacing w:line="440" w:lineRule="exact"/>
              <w:ind w:firstLineChars="150" w:firstLine="450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单位负责人签名：     </w:t>
            </w:r>
            <w:r>
              <w:rPr>
                <w:rFonts w:ascii="Nimbus Roman No9 L" w:eastAsia="仿宋_GB2312" w:cs="Nimbus Roman No9 L" w:hAnsi="Nimbus Roman No9 L" w:hint="eastAsia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单位盖章：</w:t>
            </w:r>
          </w:p>
          <w:p>
            <w:pPr>
              <w:adjustRightInd w:val="0"/>
              <w:spacing w:line="440" w:lineRule="exact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                          </w:t>
            </w:r>
            <w:r>
              <w:rPr>
                <w:rFonts w:ascii="Nimbus Roman No9 L" w:eastAsia="仿宋_GB2312" w:cs="Nimbus Roman No9 L" w:hAnsi="Nimbus Roman No9 L" w:hint="eastAsia"/>
                <w:sz w:val="30"/>
                <w:szCs w:val="30"/>
                <w:lang w:val="en-US" w:eastAsia="zh-CN"/>
              </w:rPr>
              <w:t xml:space="preserve">              </w:t>
            </w: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 xml:space="preserve"> 年   月   日</w:t>
            </w:r>
          </w:p>
        </w:tc>
      </w:tr>
      <w:tr>
        <w:trPr>
          <w:trHeight w:val="902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推荐单位</w:t>
            </w:r>
          </w:p>
          <w:p>
            <w:pPr>
              <w:adjustRightInd w:val="0"/>
              <w:spacing w:line="440" w:lineRule="exact"/>
              <w:ind w:leftChars="-51" w:left="-163" w:rightChars="-101" w:right="-323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联系人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陈思思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手机</w:t>
            </w:r>
          </w:p>
        </w:tc>
        <w:tc>
          <w:tcPr>
            <w:tcW w:w="353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13755356161</w:t>
            </w:r>
          </w:p>
        </w:tc>
      </w:tr>
      <w:tr>
        <w:trPr>
          <w:trHeight w:val="818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联系人地址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上饶市广信大道98号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邮编</w:t>
            </w:r>
          </w:p>
        </w:tc>
        <w:tc>
          <w:tcPr>
            <w:tcW w:w="3539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334000</w:t>
            </w:r>
          </w:p>
        </w:tc>
      </w:tr>
      <w:tr>
        <w:trPr>
          <w:trHeight w:val="779"/>
        </w:trPr>
        <w:tc>
          <w:tcPr>
            <w:tcW w:w="1246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电子</w:t>
            </w:r>
          </w:p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邮箱</w:t>
            </w:r>
          </w:p>
        </w:tc>
        <w:tc>
          <w:tcPr>
            <w:tcW w:w="9042" w:type="dxa"/>
            <w:gridSpan w:val="7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30"/>
                <w:szCs w:val="30"/>
              </w:rPr>
            </w:pPr>
            <w:r>
              <w:rPr>
                <w:rFonts w:ascii="Nimbus Roman No9 L" w:eastAsia="仿宋_GB2312" w:cs="Nimbus Roman No9 L" w:hAnsi="Nimbus Roman No9 L"/>
                <w:sz w:val="30"/>
                <w:szCs w:val="30"/>
              </w:rPr>
              <w:t>srtvbgs@163.com</w:t>
            </w:r>
          </w:p>
        </w:tc>
      </w:tr>
    </w:tbl>
    <w:p/>
    <w:sectPr>
      <w:pgSz w:w="11906" w:h="16838"/>
      <w:pgMar w:top="1134" w:right="1587" w:bottom="1134" w:left="1587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Heiti SC Medium">
    <w:altName w:val="阳光吾坚体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315A9096-6F99-4B18-9189-2F86240213F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WPS_Yozo_Office9.0.5560.191ZH</Application>
  <Pages>1</Pages>
  <Words>0</Words>
  <Characters>307</Characters>
  <Lines>0</Lines>
  <Paragraphs>6</Paragraphs>
  <CharactersWithSpaces>410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7</cp:revision>
  <cp:lastPrinted>2026-01-27T01:26:26Z</cp:lastPrinted>
  <dcterms:created xsi:type="dcterms:W3CDTF">2026-01-12T17:03:00Z</dcterms:created>
  <dcterms:modified xsi:type="dcterms:W3CDTF">2026-01-27T01:26:32Z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