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257E4">
      <w:pPr>
        <w:spacing w:after="156" w:afterLines="50" w:line="600" w:lineRule="exact"/>
        <w:rPr>
          <w:rFonts w:hint="eastAsia" w:ascii="楷体" w:hAnsi="楷体" w:eastAsia="楷体" w:cs="方正小标宋简体"/>
          <w:color w:val="000000"/>
          <w:sz w:val="32"/>
          <w:szCs w:val="32"/>
        </w:rPr>
      </w:pPr>
      <w:r>
        <w:rPr>
          <w:rFonts w:hint="eastAsia" w:ascii="楷体" w:hAnsi="楷体" w:eastAsia="楷体" w:cs="方正小标宋简体"/>
          <w:color w:val="000000"/>
          <w:sz w:val="32"/>
          <w:szCs w:val="32"/>
        </w:rPr>
        <w:t>附件4</w:t>
      </w:r>
    </w:p>
    <w:p w14:paraId="298DFF81">
      <w:pPr>
        <w:spacing w:after="156" w:afterLines="50" w:line="600" w:lineRule="exact"/>
        <w:jc w:val="center"/>
        <w:rPr>
          <w:rFonts w:hint="eastAsia" w:ascii="华文中宋" w:hAnsi="华文中宋" w:eastAsia="华文中宋" w:cs="方正小标宋简体"/>
          <w:color w:val="000000"/>
          <w:sz w:val="36"/>
          <w:szCs w:val="36"/>
        </w:rPr>
      </w:pPr>
      <w:r>
        <w:rPr>
          <w:rFonts w:hint="eastAsia" w:ascii="华文中宋" w:hAnsi="华文中宋" w:eastAsia="华文中宋" w:cs="方正小标宋简体"/>
          <w:color w:val="000000"/>
          <w:sz w:val="36"/>
          <w:szCs w:val="36"/>
        </w:rPr>
        <w:t>参评作品推荐表</w:t>
      </w:r>
    </w:p>
    <w:tbl>
      <w:tblPr>
        <w:tblStyle w:val="4"/>
        <w:tblW w:w="963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82"/>
        <w:gridCol w:w="580"/>
        <w:gridCol w:w="126"/>
        <w:gridCol w:w="426"/>
        <w:gridCol w:w="525"/>
        <w:gridCol w:w="607"/>
        <w:gridCol w:w="449"/>
        <w:gridCol w:w="419"/>
        <w:gridCol w:w="549"/>
        <w:gridCol w:w="232"/>
        <w:gridCol w:w="74"/>
        <w:gridCol w:w="403"/>
        <w:gridCol w:w="283"/>
        <w:gridCol w:w="421"/>
        <w:gridCol w:w="146"/>
        <w:gridCol w:w="709"/>
        <w:gridCol w:w="144"/>
        <w:gridCol w:w="711"/>
        <w:gridCol w:w="281"/>
        <w:gridCol w:w="843"/>
        <w:gridCol w:w="714"/>
      </w:tblGrid>
      <w:tr w14:paraId="1542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trPr>
        <w:tc>
          <w:tcPr>
            <w:tcW w:w="1569" w:type="dxa"/>
            <w:gridSpan w:val="3"/>
            <w:vAlign w:val="center"/>
          </w:tcPr>
          <w:p w14:paraId="478FB288">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作品标题</w:t>
            </w:r>
          </w:p>
        </w:tc>
        <w:tc>
          <w:tcPr>
            <w:tcW w:w="3407" w:type="dxa"/>
            <w:gridSpan w:val="9"/>
            <w:vAlign w:val="center"/>
          </w:tcPr>
          <w:p w14:paraId="6EC0EDDC">
            <w:pPr>
              <w:spacing w:line="300" w:lineRule="exact"/>
              <w:rPr>
                <w:rFonts w:hint="eastAsia" w:ascii="华文中宋" w:hAnsi="华文中宋" w:eastAsia="华文中宋" w:cs="Times New Roman"/>
                <w:szCs w:val="21"/>
              </w:rPr>
            </w:pPr>
            <w:r>
              <w:rPr>
                <w:rFonts w:hint="eastAsia" w:ascii="仿宋" w:hAnsi="仿宋" w:eastAsia="仿宋" w:cs="仿宋"/>
                <w:szCs w:val="21"/>
                <w:lang w:val="en-US" w:eastAsia="zh-CN"/>
              </w:rPr>
              <w:t>万羽归来</w:t>
            </w:r>
          </w:p>
        </w:tc>
        <w:tc>
          <w:tcPr>
            <w:tcW w:w="1962" w:type="dxa"/>
            <w:gridSpan w:val="5"/>
            <w:vAlign w:val="center"/>
          </w:tcPr>
          <w:p w14:paraId="5D297B7C">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参评项目</w:t>
            </w:r>
          </w:p>
          <w:p w14:paraId="7A7204AF">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（刊发形式）</w:t>
            </w:r>
          </w:p>
        </w:tc>
        <w:tc>
          <w:tcPr>
            <w:tcW w:w="2693" w:type="dxa"/>
            <w:gridSpan w:val="5"/>
            <w:vAlign w:val="center"/>
          </w:tcPr>
          <w:p w14:paraId="032A9FD8">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lang w:eastAsia="zh-CN"/>
              </w:rPr>
              <w:t>副刊作品</w:t>
            </w:r>
          </w:p>
        </w:tc>
      </w:tr>
      <w:tr w14:paraId="5469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569" w:type="dxa"/>
            <w:gridSpan w:val="3"/>
            <w:vAlign w:val="center"/>
          </w:tcPr>
          <w:p w14:paraId="3FF5D954">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4"/>
              </w:rPr>
              <w:t>字数/时长</w:t>
            </w:r>
          </w:p>
        </w:tc>
        <w:tc>
          <w:tcPr>
            <w:tcW w:w="3407" w:type="dxa"/>
            <w:gridSpan w:val="9"/>
            <w:vAlign w:val="center"/>
          </w:tcPr>
          <w:p w14:paraId="559F53AA">
            <w:pPr>
              <w:spacing w:line="300" w:lineRule="exact"/>
              <w:rPr>
                <w:rFonts w:hint="eastAsia" w:ascii="华文中宋" w:hAnsi="华文中宋" w:eastAsia="华文中宋" w:cs="Times New Roman"/>
                <w:color w:val="000000"/>
                <w:szCs w:val="21"/>
              </w:rPr>
            </w:pPr>
            <w:r>
              <w:rPr>
                <w:rFonts w:hint="eastAsia" w:ascii="仿宋" w:hAnsi="仿宋" w:eastAsia="仿宋" w:cs="仿宋"/>
                <w:color w:val="000000"/>
                <w:szCs w:val="21"/>
                <w:lang w:val="en-US" w:eastAsia="zh-CN"/>
              </w:rPr>
              <w:t>6489字</w:t>
            </w:r>
          </w:p>
        </w:tc>
        <w:tc>
          <w:tcPr>
            <w:tcW w:w="1253" w:type="dxa"/>
            <w:gridSpan w:val="4"/>
            <w:vAlign w:val="center"/>
          </w:tcPr>
          <w:p w14:paraId="5C598D07">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体裁</w:t>
            </w:r>
          </w:p>
        </w:tc>
        <w:tc>
          <w:tcPr>
            <w:tcW w:w="3402" w:type="dxa"/>
            <w:gridSpan w:val="6"/>
            <w:vAlign w:val="center"/>
          </w:tcPr>
          <w:p w14:paraId="72843170">
            <w:pPr>
              <w:spacing w:line="300" w:lineRule="exact"/>
              <w:rPr>
                <w:rFonts w:hint="default" w:ascii="仿宋_GB2312" w:hAnsi="仿宋" w:eastAsia="仿宋_GB2312" w:cs="Times New Roman"/>
                <w:color w:val="000000"/>
                <w:szCs w:val="21"/>
                <w:lang w:val="en-US" w:eastAsia="zh-CN"/>
              </w:rPr>
            </w:pPr>
            <w:r>
              <w:rPr>
                <w:rFonts w:hint="eastAsia" w:ascii="仿宋" w:hAnsi="仿宋" w:eastAsia="仿宋" w:cs="仿宋"/>
                <w:color w:val="000000"/>
                <w:szCs w:val="21"/>
                <w:lang w:eastAsia="zh-CN"/>
              </w:rPr>
              <w:t>报告文学</w:t>
            </w:r>
          </w:p>
        </w:tc>
      </w:tr>
      <w:tr w14:paraId="6036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69" w:type="dxa"/>
            <w:gridSpan w:val="3"/>
            <w:vAlign w:val="center"/>
          </w:tcPr>
          <w:p w14:paraId="6F243A8B">
            <w:pPr>
              <w:spacing w:line="300" w:lineRule="exact"/>
              <w:jc w:val="center"/>
              <w:rPr>
                <w:rFonts w:hint="eastAsia" w:ascii="华文中宋" w:hAnsi="华文中宋" w:eastAsia="华文中宋" w:cs="Times New Roman"/>
                <w:color w:val="000000"/>
                <w:spacing w:val="-12"/>
                <w:sz w:val="28"/>
              </w:rPr>
            </w:pPr>
            <w:r>
              <w:rPr>
                <w:rFonts w:hint="eastAsia" w:ascii="华文中宋" w:hAnsi="华文中宋" w:eastAsia="华文中宋" w:cs="Times New Roman"/>
                <w:color w:val="000000"/>
                <w:spacing w:val="-12"/>
                <w:sz w:val="28"/>
              </w:rPr>
              <w:t>作  者</w:t>
            </w:r>
          </w:p>
          <w:p w14:paraId="5BE6C940">
            <w:pPr>
              <w:spacing w:line="300" w:lineRule="exact"/>
              <w:jc w:val="center"/>
              <w:rPr>
                <w:rFonts w:hint="eastAsia" w:ascii="华文中宋" w:hAnsi="华文中宋" w:eastAsia="华文中宋" w:cs="Times New Roman"/>
                <w:color w:val="000000"/>
                <w:spacing w:val="-12"/>
                <w:sz w:val="24"/>
              </w:rPr>
            </w:pPr>
            <w:r>
              <w:rPr>
                <w:rFonts w:hint="eastAsia" w:ascii="华文中宋" w:hAnsi="华文中宋" w:eastAsia="华文中宋" w:cs="Times New Roman"/>
                <w:color w:val="000000"/>
                <w:spacing w:val="-12"/>
                <w:sz w:val="22"/>
              </w:rPr>
              <w:t>（主创人员）</w:t>
            </w:r>
          </w:p>
        </w:tc>
        <w:tc>
          <w:tcPr>
            <w:tcW w:w="3810" w:type="dxa"/>
            <w:gridSpan w:val="10"/>
            <w:vAlign w:val="center"/>
          </w:tcPr>
          <w:p w14:paraId="3FC385AD">
            <w:pPr>
              <w:spacing w:line="300" w:lineRule="exact"/>
              <w:rPr>
                <w:rFonts w:hint="eastAsia" w:ascii="仿宋_GB2312" w:hAnsi="华文中宋" w:eastAsia="仿宋_GB2312" w:cs="Times New Roman"/>
                <w:color w:val="000000"/>
                <w:szCs w:val="21"/>
              </w:rPr>
            </w:pPr>
            <w:r>
              <w:rPr>
                <w:rFonts w:hint="eastAsia" w:ascii="仿宋" w:hAnsi="仿宋" w:eastAsia="仿宋" w:cs="仿宋"/>
                <w:color w:val="000000"/>
                <w:szCs w:val="21"/>
                <w:lang w:eastAsia="zh-CN"/>
              </w:rPr>
              <w:t>张明金、</w:t>
            </w:r>
            <w:r>
              <w:rPr>
                <w:rFonts w:hint="eastAsia" w:ascii="仿宋" w:hAnsi="仿宋" w:eastAsia="仿宋" w:cs="仿宋"/>
                <w:color w:val="000000"/>
                <w:szCs w:val="21"/>
                <w:lang w:val="en-US" w:eastAsia="zh-CN"/>
              </w:rPr>
              <w:t>邹萍艳、戚虹鸿</w:t>
            </w:r>
          </w:p>
        </w:tc>
        <w:tc>
          <w:tcPr>
            <w:tcW w:w="850" w:type="dxa"/>
            <w:gridSpan w:val="3"/>
            <w:vAlign w:val="center"/>
          </w:tcPr>
          <w:p w14:paraId="4AEC0721">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编辑</w:t>
            </w:r>
          </w:p>
        </w:tc>
        <w:tc>
          <w:tcPr>
            <w:tcW w:w="3402" w:type="dxa"/>
            <w:gridSpan w:val="6"/>
            <w:vAlign w:val="center"/>
          </w:tcPr>
          <w:p w14:paraId="5BDA4930">
            <w:pPr>
              <w:spacing w:line="300" w:lineRule="exact"/>
              <w:rPr>
                <w:rFonts w:hint="eastAsia" w:ascii="仿宋" w:hAnsi="仿宋" w:eastAsia="仿宋" w:cs="Times New Roman"/>
                <w:color w:val="000000"/>
                <w:w w:val="95"/>
                <w:szCs w:val="21"/>
              </w:rPr>
            </w:pPr>
            <w:r>
              <w:rPr>
                <w:rFonts w:hint="eastAsia" w:ascii="仿宋" w:hAnsi="仿宋" w:eastAsia="仿宋" w:cs="仿宋"/>
                <w:color w:val="000000"/>
                <w:szCs w:val="21"/>
                <w:lang w:eastAsia="zh-CN"/>
              </w:rPr>
              <w:t>陈华英、蒋春、任克祥</w:t>
            </w:r>
          </w:p>
        </w:tc>
      </w:tr>
      <w:tr w14:paraId="447F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569" w:type="dxa"/>
            <w:gridSpan w:val="3"/>
            <w:vAlign w:val="center"/>
          </w:tcPr>
          <w:p w14:paraId="2C79F53A">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原创单位</w:t>
            </w:r>
          </w:p>
        </w:tc>
        <w:tc>
          <w:tcPr>
            <w:tcW w:w="2552" w:type="dxa"/>
            <w:gridSpan w:val="6"/>
            <w:vAlign w:val="center"/>
          </w:tcPr>
          <w:p w14:paraId="5DC188D6">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lang w:eastAsia="zh-CN"/>
              </w:rPr>
              <w:t>上饶市融媒体中心</w:t>
            </w:r>
          </w:p>
        </w:tc>
        <w:tc>
          <w:tcPr>
            <w:tcW w:w="1962" w:type="dxa"/>
            <w:gridSpan w:val="6"/>
            <w:vAlign w:val="center"/>
          </w:tcPr>
          <w:p w14:paraId="64AB609E">
            <w:pPr>
              <w:spacing w:line="300" w:lineRule="exact"/>
              <w:rPr>
                <w:rFonts w:hint="eastAsia" w:ascii="华文中宋" w:hAnsi="华文中宋" w:eastAsia="华文中宋" w:cs="Times New Roman"/>
                <w:color w:val="000000"/>
                <w:sz w:val="24"/>
                <w:szCs w:val="24"/>
              </w:rPr>
            </w:pPr>
            <w:r>
              <w:rPr>
                <w:rFonts w:hint="eastAsia" w:ascii="华文中宋" w:hAnsi="华文中宋" w:eastAsia="华文中宋" w:cs="Times New Roman"/>
                <w:color w:val="000000"/>
                <w:sz w:val="24"/>
                <w:szCs w:val="24"/>
              </w:rPr>
              <w:t>发布端/账号/</w:t>
            </w:r>
          </w:p>
          <w:p w14:paraId="1DA6764D">
            <w:pPr>
              <w:spacing w:line="300" w:lineRule="exact"/>
              <w:rPr>
                <w:rFonts w:hint="eastAsia" w:ascii="仿宋_GB2312" w:hAnsi="仿宋" w:eastAsia="仿宋_GB2312" w:cs="Times New Roman"/>
                <w:color w:val="000000"/>
                <w:sz w:val="18"/>
                <w:szCs w:val="18"/>
                <w:highlight w:val="green"/>
              </w:rPr>
            </w:pPr>
            <w:r>
              <w:rPr>
                <w:rFonts w:hint="eastAsia" w:ascii="华文中宋" w:hAnsi="华文中宋" w:eastAsia="华文中宋" w:cs="Times New Roman"/>
                <w:color w:val="000000"/>
                <w:sz w:val="24"/>
                <w:szCs w:val="24"/>
              </w:rPr>
              <w:t>媒体名称</w:t>
            </w:r>
          </w:p>
        </w:tc>
        <w:tc>
          <w:tcPr>
            <w:tcW w:w="3548" w:type="dxa"/>
            <w:gridSpan w:val="7"/>
            <w:vAlign w:val="center"/>
          </w:tcPr>
          <w:p w14:paraId="161526D7">
            <w:pPr>
              <w:spacing w:line="300" w:lineRule="exact"/>
              <w:rPr>
                <w:rFonts w:hint="eastAsia" w:ascii="仿宋_GB2312" w:hAnsi="仿宋" w:eastAsia="仿宋_GB2312" w:cs="Times New Roman"/>
                <w:color w:val="000000"/>
                <w:sz w:val="18"/>
                <w:szCs w:val="18"/>
                <w:highlight w:val="green"/>
              </w:rPr>
            </w:pPr>
            <w:r>
              <w:rPr>
                <w:rFonts w:hint="eastAsia" w:ascii="仿宋" w:hAnsi="仿宋" w:eastAsia="仿宋" w:cs="Times New Roman"/>
                <w:color w:val="000000"/>
                <w:szCs w:val="21"/>
                <w:lang w:eastAsia="zh-CN"/>
              </w:rPr>
              <w:t>《上饶日报》、上饶新闻客户端、上饶新闻网</w:t>
            </w:r>
          </w:p>
        </w:tc>
      </w:tr>
      <w:tr w14:paraId="7541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trPr>
        <w:tc>
          <w:tcPr>
            <w:tcW w:w="2646" w:type="dxa"/>
            <w:gridSpan w:val="6"/>
            <w:vAlign w:val="center"/>
          </w:tcPr>
          <w:p w14:paraId="7546E08B">
            <w:pPr>
              <w:spacing w:line="300" w:lineRule="exact"/>
              <w:jc w:val="center"/>
              <w:rPr>
                <w:rFonts w:hint="eastAsia" w:ascii="华文中宋" w:hAnsi="华文中宋" w:eastAsia="华文中宋" w:cs="Times New Roman"/>
                <w:color w:val="000000"/>
                <w:sz w:val="28"/>
                <w:lang w:val="en-US" w:eastAsia="zh-CN"/>
              </w:rPr>
            </w:pPr>
            <w:r>
              <w:rPr>
                <w:rFonts w:hint="eastAsia" w:ascii="华文中宋" w:hAnsi="华文中宋" w:eastAsia="华文中宋" w:cs="Times New Roman"/>
                <w:color w:val="000000"/>
                <w:sz w:val="28"/>
              </w:rPr>
              <w:t>刊播栏目或版</w:t>
            </w:r>
            <w:r>
              <w:rPr>
                <w:rFonts w:hint="eastAsia" w:ascii="华文中宋" w:hAnsi="华文中宋" w:eastAsia="华文中宋" w:cs="Times New Roman"/>
                <w:color w:val="000000"/>
                <w:sz w:val="28"/>
                <w:lang w:val="en-US" w:eastAsia="zh-CN"/>
              </w:rPr>
              <w:t>面</w:t>
            </w:r>
          </w:p>
        </w:tc>
        <w:tc>
          <w:tcPr>
            <w:tcW w:w="3583" w:type="dxa"/>
            <w:gridSpan w:val="10"/>
            <w:vAlign w:val="center"/>
          </w:tcPr>
          <w:p w14:paraId="3B213BAB">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lang w:eastAsia="zh-CN"/>
              </w:rPr>
              <w:t>《上饶日报》三版</w:t>
            </w:r>
          </w:p>
        </w:tc>
        <w:tc>
          <w:tcPr>
            <w:tcW w:w="1564" w:type="dxa"/>
            <w:gridSpan w:val="3"/>
            <w:vAlign w:val="center"/>
          </w:tcPr>
          <w:p w14:paraId="04FADCAD">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刊播日期</w:t>
            </w:r>
          </w:p>
        </w:tc>
        <w:tc>
          <w:tcPr>
            <w:tcW w:w="1838" w:type="dxa"/>
            <w:gridSpan w:val="3"/>
            <w:vAlign w:val="center"/>
          </w:tcPr>
          <w:p w14:paraId="26F08C40">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rPr>
              <w:t>2025年</w:t>
            </w:r>
            <w:r>
              <w:rPr>
                <w:rFonts w:hint="eastAsia" w:ascii="仿宋" w:hAnsi="仿宋" w:eastAsia="仿宋" w:cs="Times New Roman"/>
                <w:color w:val="000000"/>
                <w:szCs w:val="21"/>
                <w:lang w:val="en-US" w:eastAsia="zh-CN"/>
              </w:rPr>
              <w:t>12</w:t>
            </w:r>
            <w:r>
              <w:rPr>
                <w:rFonts w:hint="eastAsia" w:ascii="仿宋" w:hAnsi="仿宋" w:eastAsia="仿宋" w:cs="Times New Roman"/>
                <w:color w:val="000000"/>
                <w:szCs w:val="21"/>
              </w:rPr>
              <w:t>月</w:t>
            </w:r>
            <w:r>
              <w:rPr>
                <w:rFonts w:hint="eastAsia" w:ascii="仿宋" w:hAnsi="仿宋" w:eastAsia="仿宋" w:cs="Times New Roman"/>
                <w:color w:val="000000"/>
                <w:szCs w:val="21"/>
                <w:lang w:val="en-US" w:eastAsia="zh-CN"/>
              </w:rPr>
              <w:t>31</w:t>
            </w:r>
            <w:r>
              <w:rPr>
                <w:rFonts w:hint="eastAsia" w:ascii="仿宋" w:hAnsi="仿宋" w:eastAsia="仿宋" w:cs="Times New Roman"/>
                <w:color w:val="000000"/>
                <w:szCs w:val="21"/>
              </w:rPr>
              <w:t>日</w:t>
            </w:r>
          </w:p>
        </w:tc>
      </w:tr>
      <w:tr w14:paraId="478A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trPr>
        <w:tc>
          <w:tcPr>
            <w:tcW w:w="1569" w:type="dxa"/>
            <w:gridSpan w:val="3"/>
            <w:vAlign w:val="center"/>
          </w:tcPr>
          <w:p w14:paraId="6D8AEC42">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新媒体作品网址</w:t>
            </w:r>
          </w:p>
        </w:tc>
        <w:tc>
          <w:tcPr>
            <w:tcW w:w="4514" w:type="dxa"/>
            <w:gridSpan w:val="12"/>
            <w:vAlign w:val="center"/>
          </w:tcPr>
          <w:p w14:paraId="059685E2">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rPr>
              <w:fldChar w:fldCharType="begin"/>
            </w:r>
            <w:r>
              <w:rPr>
                <w:rFonts w:hint="eastAsia" w:ascii="仿宋" w:hAnsi="仿宋" w:eastAsia="仿宋" w:cs="Times New Roman"/>
                <w:color w:val="000000"/>
                <w:szCs w:val="21"/>
              </w:rPr>
              <w:instrText xml:space="preserve"> HYPERLINK "http://paper.srxww.com/pc/content/202512/31/content_27901.html?spm=kvyfdrwuot.0.0.1.9aGBhf" </w:instrText>
            </w:r>
            <w:r>
              <w:rPr>
                <w:rFonts w:hint="eastAsia" w:ascii="仿宋" w:hAnsi="仿宋" w:eastAsia="仿宋" w:cs="Times New Roman"/>
                <w:color w:val="000000"/>
                <w:szCs w:val="21"/>
              </w:rPr>
              <w:fldChar w:fldCharType="separate"/>
            </w:r>
            <w:r>
              <w:rPr>
                <w:rStyle w:val="6"/>
                <w:rFonts w:hint="eastAsia" w:ascii="仿宋" w:hAnsi="仿宋" w:eastAsia="仿宋" w:cs="Times New Roman"/>
                <w:szCs w:val="21"/>
              </w:rPr>
              <w:t>http://paper.srxww.com/pc/content/202512/31/content_27901.html?spm=kvyfdrwuot.0.0.1.9aGBhf</w:t>
            </w:r>
            <w:r>
              <w:rPr>
                <w:rFonts w:hint="eastAsia" w:ascii="仿宋" w:hAnsi="仿宋" w:eastAsia="仿宋" w:cs="Times New Roman"/>
                <w:color w:val="000000"/>
                <w:szCs w:val="21"/>
              </w:rPr>
              <w:fldChar w:fldCharType="end"/>
            </w:r>
          </w:p>
          <w:p w14:paraId="43DF8225">
            <w:pPr>
              <w:spacing w:line="300" w:lineRule="exact"/>
              <w:rPr>
                <w:rFonts w:hint="eastAsia" w:ascii="仿宋" w:hAnsi="仿宋" w:eastAsia="仿宋" w:cs="Times New Roman"/>
                <w:color w:val="000000"/>
                <w:szCs w:val="21"/>
              </w:rPr>
            </w:pPr>
          </w:p>
        </w:tc>
        <w:tc>
          <w:tcPr>
            <w:tcW w:w="2834" w:type="dxa"/>
            <w:gridSpan w:val="6"/>
            <w:vAlign w:val="center"/>
          </w:tcPr>
          <w:p w14:paraId="7A9AE3C6">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是否为“三好作品”</w:t>
            </w:r>
          </w:p>
        </w:tc>
        <w:tc>
          <w:tcPr>
            <w:tcW w:w="714" w:type="dxa"/>
            <w:vAlign w:val="center"/>
          </w:tcPr>
          <w:p w14:paraId="2321175F">
            <w:pPr>
              <w:spacing w:line="300" w:lineRule="exact"/>
              <w:rPr>
                <w:rFonts w:hint="eastAsia" w:ascii="仿宋" w:hAnsi="仿宋" w:eastAsia="仿宋" w:cs="Times New Roman"/>
                <w:color w:val="000000"/>
                <w:szCs w:val="21"/>
                <w:lang w:eastAsia="zh-CN"/>
              </w:rPr>
            </w:pPr>
            <w:r>
              <w:rPr>
                <w:rFonts w:hint="eastAsia" w:ascii="仿宋" w:hAnsi="仿宋" w:eastAsia="仿宋" w:cs="Times New Roman"/>
                <w:color w:val="000000"/>
                <w:szCs w:val="21"/>
                <w:lang w:eastAsia="zh-CN"/>
              </w:rPr>
              <w:t>否</w:t>
            </w:r>
          </w:p>
        </w:tc>
      </w:tr>
      <w:tr w14:paraId="17DD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9" w:type="dxa"/>
            <w:gridSpan w:val="2"/>
            <w:vAlign w:val="center"/>
          </w:tcPr>
          <w:p w14:paraId="62F29726">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 xml:space="preserve">  ︵</w:t>
            </w:r>
          </w:p>
          <w:p w14:paraId="0F9D8106">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作采</w:t>
            </w:r>
          </w:p>
          <w:p w14:paraId="286B6C18">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品编</w:t>
            </w:r>
          </w:p>
          <w:p w14:paraId="3C1E8EF0">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简过</w:t>
            </w:r>
          </w:p>
          <w:p w14:paraId="7B5E6C31">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介程</w:t>
            </w:r>
          </w:p>
          <w:p w14:paraId="7069A04A">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 xml:space="preserve">  ︶</w:t>
            </w:r>
          </w:p>
        </w:tc>
        <w:tc>
          <w:tcPr>
            <w:tcW w:w="8642" w:type="dxa"/>
            <w:gridSpan w:val="20"/>
            <w:vAlign w:val="center"/>
          </w:tcPr>
          <w:p w14:paraId="21DC34AD">
            <w:pPr>
              <w:spacing w:line="300" w:lineRule="exact"/>
              <w:rPr>
                <w:rFonts w:hint="eastAsia" w:ascii="仿宋" w:hAnsi="仿宋" w:eastAsia="仿宋" w:cs="Times New Roman"/>
                <w:color w:val="000000"/>
                <w:w w:val="95"/>
                <w:szCs w:val="21"/>
              </w:rPr>
            </w:pPr>
            <w:r>
              <w:rPr>
                <w:rFonts w:hint="eastAsia" w:ascii="仿宋" w:hAnsi="仿宋" w:eastAsia="仿宋" w:cs="仿宋"/>
                <w:i w:val="0"/>
                <w:iCs w:val="0"/>
                <w:caps w:val="0"/>
                <w:color w:val="333333"/>
                <w:spacing w:val="0"/>
                <w:sz w:val="21"/>
                <w:szCs w:val="21"/>
              </w:rPr>
              <w:t>《万羽归来》是记者践行“四力”，深入鄱阳湖生态保护最前沿采写的报告文学作品。在长江十年禁渔启动的第五个年头，记者走进全省首个鄱阳湖“</w:t>
            </w:r>
            <w:r>
              <w:rPr>
                <w:rFonts w:hint="eastAsia" w:ascii="仿宋" w:hAnsi="仿宋" w:eastAsia="仿宋" w:cs="仿宋"/>
                <w:sz w:val="21"/>
                <w:szCs w:val="21"/>
              </w:rPr>
              <w:t>渔</w:t>
            </w:r>
            <w:r>
              <w:rPr>
                <w:rFonts w:hint="eastAsia" w:ascii="仿宋" w:hAnsi="仿宋" w:eastAsia="仿宋" w:cs="仿宋"/>
                <w:i w:val="0"/>
                <w:iCs w:val="0"/>
                <w:caps w:val="0"/>
                <w:color w:val="333333"/>
                <w:spacing w:val="0"/>
                <w:sz w:val="21"/>
                <w:szCs w:val="21"/>
              </w:rPr>
              <w:t>鸟派出所”——余干县公安局大湖派出所，跟随民辅警的脚步深入茫茫滩涂、隐秘哨点、临时救助站与湖畔村舍，用细腻笔触真实记录下新时代生态守护者用心用情</w:t>
            </w:r>
            <w:r>
              <w:rPr>
                <w:rFonts w:hint="eastAsia" w:ascii="仿宋" w:hAnsi="仿宋" w:eastAsia="仿宋" w:cs="仿宋"/>
                <w:i w:val="0"/>
                <w:iCs w:val="0"/>
                <w:caps w:val="0"/>
                <w:color w:val="333333"/>
                <w:spacing w:val="0"/>
                <w:sz w:val="21"/>
                <w:szCs w:val="21"/>
                <w:lang w:eastAsia="zh-CN"/>
              </w:rPr>
              <w:t>的</w:t>
            </w:r>
            <w:r>
              <w:rPr>
                <w:rFonts w:hint="eastAsia" w:ascii="仿宋" w:hAnsi="仿宋" w:eastAsia="仿宋" w:cs="仿宋"/>
                <w:i w:val="0"/>
                <w:iCs w:val="0"/>
                <w:caps w:val="0"/>
                <w:color w:val="333333"/>
                <w:spacing w:val="0"/>
                <w:sz w:val="21"/>
                <w:szCs w:val="21"/>
              </w:rPr>
              <w:t>守护，生动呈现科技如何为生态守护插上翅膀；展现出鄱阳湖区从“人鸟争食”到“人鸟共生”</w:t>
            </w:r>
            <w:r>
              <w:rPr>
                <w:rFonts w:hint="eastAsia" w:ascii="仿宋" w:hAnsi="仿宋" w:eastAsia="仿宋" w:cs="仿宋"/>
                <w:i w:val="0"/>
                <w:iCs w:val="0"/>
                <w:caps w:val="0"/>
                <w:color w:val="333333"/>
                <w:spacing w:val="0"/>
                <w:sz w:val="21"/>
                <w:szCs w:val="21"/>
                <w:lang w:val="en-US" w:eastAsia="zh-CN"/>
              </w:rPr>
              <w:t>、生物多样性家底持续“增厚”</w:t>
            </w:r>
            <w:r>
              <w:rPr>
                <w:rFonts w:hint="eastAsia" w:ascii="仿宋" w:hAnsi="仿宋" w:eastAsia="仿宋" w:cs="仿宋"/>
                <w:i w:val="0"/>
                <w:iCs w:val="0"/>
                <w:caps w:val="0"/>
                <w:color w:val="333333"/>
                <w:spacing w:val="0"/>
                <w:sz w:val="21"/>
                <w:szCs w:val="21"/>
              </w:rPr>
              <w:t>的深刻转变，揭示了余干县精彩蝶变背后的绿色发展密码。作品语言优美、情感真挚、构思精巧、行文流畅、层次分明，尤其开头和结尾的意象令人过目不忘。</w:t>
            </w:r>
          </w:p>
        </w:tc>
      </w:tr>
      <w:tr w14:paraId="2023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trPr>
        <w:tc>
          <w:tcPr>
            <w:tcW w:w="989" w:type="dxa"/>
            <w:gridSpan w:val="2"/>
            <w:vAlign w:val="center"/>
          </w:tcPr>
          <w:p w14:paraId="2A4F3D20">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社</w:t>
            </w:r>
          </w:p>
          <w:p w14:paraId="3CE8BA29">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会</w:t>
            </w:r>
          </w:p>
          <w:p w14:paraId="473A7FF3">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效</w:t>
            </w:r>
          </w:p>
          <w:p w14:paraId="2A4B6AF0">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果</w:t>
            </w:r>
          </w:p>
        </w:tc>
        <w:tc>
          <w:tcPr>
            <w:tcW w:w="8642" w:type="dxa"/>
            <w:gridSpan w:val="20"/>
            <w:vAlign w:val="center"/>
          </w:tcPr>
          <w:p w14:paraId="3392C1DA">
            <w:pPr>
              <w:spacing w:line="300" w:lineRule="exact"/>
              <w:rPr>
                <w:rFonts w:hint="eastAsia" w:ascii="仿宋" w:hAnsi="仿宋" w:eastAsia="仿宋" w:cs="Times New Roman"/>
                <w:color w:val="000000"/>
                <w:szCs w:val="21"/>
              </w:rPr>
            </w:pPr>
            <w:r>
              <w:rPr>
                <w:rFonts w:hint="eastAsia" w:ascii="仿宋" w:hAnsi="仿宋" w:eastAsia="仿宋" w:cs="仿宋"/>
                <w:i w:val="0"/>
                <w:iCs w:val="0"/>
                <w:caps w:val="0"/>
                <w:color w:val="0F1115"/>
                <w:spacing w:val="0"/>
                <w:sz w:val="21"/>
                <w:szCs w:val="21"/>
                <w:shd w:val="clear" w:fill="FFFFFF"/>
                <w:lang w:eastAsia="zh-CN"/>
              </w:rPr>
              <w:t>作品在上饶日报、上饶新闻客户端及上饶新闻网刊发后，引起广泛关注和共鸣。不少读者反映深受触动，增强了保护候鸟、爱护家园的意识。作品不仅宣传了生态保护的成效，让“绿水青山就是金山银山”的理念更加深入人心，也为上饶的生态文明建设提供了生动的故事支撑。</w:t>
            </w:r>
          </w:p>
        </w:tc>
      </w:tr>
      <w:tr w14:paraId="14D4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07" w:type="dxa"/>
            <w:vMerge w:val="restart"/>
            <w:tcBorders>
              <w:top w:val="single" w:color="auto" w:sz="4" w:space="0"/>
              <w:left w:val="single" w:color="auto" w:sz="4" w:space="0"/>
              <w:bottom w:val="single" w:color="auto" w:sz="4" w:space="0"/>
              <w:right w:val="single" w:color="auto" w:sz="4" w:space="0"/>
            </w:tcBorders>
            <w:vAlign w:val="center"/>
          </w:tcPr>
          <w:p w14:paraId="1624CB43">
            <w:pPr>
              <w:spacing w:line="30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传</w:t>
            </w:r>
          </w:p>
          <w:p w14:paraId="1C968609">
            <w:pPr>
              <w:spacing w:line="30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播</w:t>
            </w:r>
          </w:p>
          <w:p w14:paraId="55A0BFB1">
            <w:pPr>
              <w:spacing w:line="30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数</w:t>
            </w:r>
          </w:p>
          <w:p w14:paraId="12E6BA87">
            <w:pPr>
              <w:spacing w:line="30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据</w:t>
            </w:r>
          </w:p>
        </w:tc>
        <w:tc>
          <w:tcPr>
            <w:tcW w:w="988" w:type="dxa"/>
            <w:gridSpan w:val="3"/>
            <w:vMerge w:val="restart"/>
            <w:tcBorders>
              <w:top w:val="single" w:color="auto" w:sz="4" w:space="0"/>
              <w:left w:val="single" w:color="auto" w:sz="4" w:space="0"/>
              <w:bottom w:val="single" w:color="auto" w:sz="4" w:space="0"/>
              <w:right w:val="single" w:color="auto" w:sz="4" w:space="0"/>
            </w:tcBorders>
            <w:vAlign w:val="center"/>
          </w:tcPr>
          <w:p w14:paraId="4D4FC6B6">
            <w:pPr>
              <w:spacing w:line="300" w:lineRule="exact"/>
              <w:jc w:val="center"/>
              <w:rPr>
                <w:rFonts w:hint="eastAsia" w:ascii="仿宋" w:hAnsi="仿宋" w:eastAsia="仿宋" w:cs="仿宋"/>
                <w:color w:val="000000"/>
                <w:spacing w:val="-10"/>
                <w:szCs w:val="21"/>
              </w:rPr>
            </w:pPr>
            <w:r>
              <w:rPr>
                <w:rFonts w:hint="eastAsia" w:ascii="仿宋" w:hAnsi="仿宋" w:eastAsia="仿宋" w:cs="仿宋"/>
                <w:color w:val="000000"/>
                <w:spacing w:val="-10"/>
                <w:szCs w:val="21"/>
              </w:rPr>
              <w:t>新媒体传播</w:t>
            </w:r>
            <w:r>
              <w:rPr>
                <w:rFonts w:hint="eastAsia" w:ascii="仿宋" w:hAnsi="仿宋" w:eastAsia="仿宋" w:cs="仿宋"/>
                <w:color w:val="000000"/>
                <w:szCs w:val="21"/>
              </w:rPr>
              <w:t>平台网址</w:t>
            </w:r>
          </w:p>
        </w:tc>
        <w:tc>
          <w:tcPr>
            <w:tcW w:w="426" w:type="dxa"/>
            <w:tcBorders>
              <w:top w:val="single" w:color="auto" w:sz="4" w:space="0"/>
              <w:left w:val="single" w:color="auto" w:sz="4" w:space="0"/>
              <w:bottom w:val="single" w:color="auto" w:sz="4" w:space="0"/>
              <w:right w:val="single" w:color="auto" w:sz="4" w:space="0"/>
            </w:tcBorders>
            <w:vAlign w:val="center"/>
          </w:tcPr>
          <w:p w14:paraId="088723FD">
            <w:pPr>
              <w:spacing w:line="300" w:lineRule="exact"/>
              <w:rPr>
                <w:rFonts w:hint="eastAsia" w:ascii="仿宋" w:hAnsi="仿宋" w:eastAsia="仿宋" w:cs="仿宋"/>
                <w:color w:val="000000"/>
                <w:szCs w:val="21"/>
              </w:rPr>
            </w:pPr>
            <w:r>
              <w:rPr>
                <w:rFonts w:hint="eastAsia" w:ascii="仿宋" w:hAnsi="仿宋" w:eastAsia="仿宋" w:cs="仿宋"/>
                <w:color w:val="000000"/>
                <w:szCs w:val="21"/>
              </w:rPr>
              <w:t>1</w:t>
            </w:r>
          </w:p>
        </w:tc>
        <w:tc>
          <w:tcPr>
            <w:tcW w:w="7510" w:type="dxa"/>
            <w:gridSpan w:val="17"/>
            <w:tcBorders>
              <w:top w:val="single" w:color="auto" w:sz="4" w:space="0"/>
              <w:left w:val="single" w:color="auto" w:sz="4" w:space="0"/>
              <w:bottom w:val="single" w:color="auto" w:sz="4" w:space="0"/>
              <w:right w:val="single" w:color="auto" w:sz="4" w:space="0"/>
            </w:tcBorders>
            <w:vAlign w:val="center"/>
          </w:tcPr>
          <w:p w14:paraId="55919816">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rPr>
              <w:fldChar w:fldCharType="begin"/>
            </w:r>
            <w:r>
              <w:rPr>
                <w:rFonts w:hint="eastAsia" w:ascii="仿宋" w:hAnsi="仿宋" w:eastAsia="仿宋" w:cs="Times New Roman"/>
                <w:color w:val="000000"/>
                <w:szCs w:val="21"/>
              </w:rPr>
              <w:instrText xml:space="preserve"> HYPERLINK "http://www.srxww.com/news/2025-12/31/content_41980.html" </w:instrText>
            </w:r>
            <w:r>
              <w:rPr>
                <w:rFonts w:hint="eastAsia" w:ascii="仿宋" w:hAnsi="仿宋" w:eastAsia="仿宋" w:cs="Times New Roman"/>
                <w:color w:val="000000"/>
                <w:szCs w:val="21"/>
              </w:rPr>
              <w:fldChar w:fldCharType="separate"/>
            </w:r>
            <w:r>
              <w:rPr>
                <w:rStyle w:val="6"/>
                <w:rFonts w:hint="eastAsia" w:ascii="仿宋" w:hAnsi="仿宋" w:eastAsia="仿宋" w:cs="Times New Roman"/>
                <w:szCs w:val="21"/>
              </w:rPr>
              <w:t>http://www.srxww.com/news/2025-12/31/content_41980.html</w:t>
            </w:r>
            <w:r>
              <w:rPr>
                <w:rFonts w:hint="eastAsia" w:ascii="仿宋" w:hAnsi="仿宋" w:eastAsia="仿宋" w:cs="Times New Roman"/>
                <w:color w:val="000000"/>
                <w:szCs w:val="21"/>
              </w:rPr>
              <w:fldChar w:fldCharType="end"/>
            </w:r>
          </w:p>
          <w:p w14:paraId="28FE2AED">
            <w:pPr>
              <w:spacing w:line="300" w:lineRule="exact"/>
              <w:rPr>
                <w:rFonts w:hint="eastAsia" w:ascii="仿宋" w:hAnsi="仿宋" w:eastAsia="仿宋"/>
                <w:color w:val="000000"/>
                <w:szCs w:val="21"/>
              </w:rPr>
            </w:pPr>
          </w:p>
        </w:tc>
      </w:tr>
      <w:tr w14:paraId="25D3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trPr>
        <w:tc>
          <w:tcPr>
            <w:tcW w:w="707" w:type="dxa"/>
            <w:vMerge w:val="continue"/>
            <w:tcBorders>
              <w:top w:val="single" w:color="auto" w:sz="4" w:space="0"/>
              <w:left w:val="single" w:color="auto" w:sz="4" w:space="0"/>
              <w:bottom w:val="single" w:color="auto" w:sz="4" w:space="0"/>
              <w:right w:val="single" w:color="auto" w:sz="4" w:space="0"/>
            </w:tcBorders>
            <w:vAlign w:val="center"/>
          </w:tcPr>
          <w:p w14:paraId="4A4B0500">
            <w:pPr>
              <w:widowControl/>
              <w:spacing w:line="300" w:lineRule="exact"/>
              <w:jc w:val="left"/>
              <w:rPr>
                <w:rFonts w:hint="eastAsia" w:ascii="华文中宋" w:hAnsi="华文中宋" w:eastAsia="华文中宋"/>
                <w:color w:val="000000"/>
                <w:sz w:val="28"/>
              </w:rPr>
            </w:pPr>
          </w:p>
        </w:tc>
        <w:tc>
          <w:tcPr>
            <w:tcW w:w="988" w:type="dxa"/>
            <w:gridSpan w:val="3"/>
            <w:vMerge w:val="continue"/>
            <w:tcBorders>
              <w:top w:val="single" w:color="auto" w:sz="4" w:space="0"/>
              <w:left w:val="single" w:color="auto" w:sz="4" w:space="0"/>
              <w:bottom w:val="single" w:color="auto" w:sz="4" w:space="0"/>
              <w:right w:val="single" w:color="auto" w:sz="4" w:space="0"/>
            </w:tcBorders>
            <w:vAlign w:val="center"/>
          </w:tcPr>
          <w:p w14:paraId="3B0B9D34">
            <w:pPr>
              <w:widowControl/>
              <w:spacing w:line="300" w:lineRule="exact"/>
              <w:jc w:val="left"/>
              <w:rPr>
                <w:rFonts w:hint="eastAsia" w:ascii="仿宋" w:hAnsi="仿宋" w:eastAsia="仿宋" w:cs="仿宋"/>
                <w:color w:val="000000"/>
                <w:szCs w:val="21"/>
              </w:rPr>
            </w:pPr>
          </w:p>
        </w:tc>
        <w:tc>
          <w:tcPr>
            <w:tcW w:w="426" w:type="dxa"/>
            <w:tcBorders>
              <w:top w:val="single" w:color="auto" w:sz="4" w:space="0"/>
              <w:left w:val="single" w:color="auto" w:sz="4" w:space="0"/>
              <w:bottom w:val="single" w:color="auto" w:sz="4" w:space="0"/>
              <w:right w:val="single" w:color="auto" w:sz="4" w:space="0"/>
            </w:tcBorders>
            <w:vAlign w:val="center"/>
          </w:tcPr>
          <w:p w14:paraId="479AA351">
            <w:pPr>
              <w:spacing w:line="300" w:lineRule="exact"/>
              <w:rPr>
                <w:rFonts w:hint="eastAsia" w:ascii="仿宋" w:hAnsi="仿宋" w:eastAsia="仿宋" w:cs="仿宋"/>
                <w:color w:val="000000"/>
                <w:szCs w:val="21"/>
              </w:rPr>
            </w:pPr>
            <w:r>
              <w:rPr>
                <w:rFonts w:hint="eastAsia" w:ascii="仿宋" w:hAnsi="仿宋" w:eastAsia="仿宋" w:cs="仿宋"/>
                <w:color w:val="000000"/>
                <w:szCs w:val="21"/>
              </w:rPr>
              <w:t>2</w:t>
            </w:r>
          </w:p>
        </w:tc>
        <w:tc>
          <w:tcPr>
            <w:tcW w:w="7510" w:type="dxa"/>
            <w:gridSpan w:val="17"/>
            <w:tcBorders>
              <w:top w:val="single" w:color="auto" w:sz="4" w:space="0"/>
              <w:left w:val="single" w:color="auto" w:sz="4" w:space="0"/>
              <w:bottom w:val="single" w:color="auto" w:sz="4" w:space="0"/>
              <w:right w:val="single" w:color="auto" w:sz="4" w:space="0"/>
            </w:tcBorders>
            <w:vAlign w:val="center"/>
          </w:tcPr>
          <w:p w14:paraId="12782296">
            <w:pPr>
              <w:spacing w:line="300" w:lineRule="exact"/>
              <w:rPr>
                <w:rFonts w:hint="eastAsia" w:ascii="仿宋" w:hAnsi="仿宋" w:eastAsia="仿宋"/>
                <w:color w:val="000000"/>
                <w:szCs w:val="21"/>
              </w:rPr>
            </w:pPr>
            <w:r>
              <w:rPr>
                <w:rFonts w:hint="eastAsia" w:ascii="仿宋" w:hAnsi="仿宋" w:eastAsia="仿宋"/>
                <w:color w:val="000000"/>
                <w:szCs w:val="21"/>
              </w:rPr>
              <w:fldChar w:fldCharType="begin"/>
            </w:r>
            <w:r>
              <w:rPr>
                <w:rFonts w:hint="eastAsia" w:ascii="仿宋" w:hAnsi="仿宋" w:eastAsia="仿宋"/>
                <w:color w:val="000000"/>
                <w:szCs w:val="21"/>
              </w:rPr>
              <w:instrText xml:space="preserve"> HYPERLINK "https://appi.0793srtv.cn/webDetails/news?id=13032645&amp;tenantId=303&amp;uid=688c32241b00b900196e01e0" </w:instrText>
            </w:r>
            <w:r>
              <w:rPr>
                <w:rFonts w:hint="eastAsia" w:ascii="仿宋" w:hAnsi="仿宋" w:eastAsia="仿宋"/>
                <w:color w:val="000000"/>
                <w:szCs w:val="21"/>
              </w:rPr>
              <w:fldChar w:fldCharType="separate"/>
            </w:r>
            <w:r>
              <w:rPr>
                <w:rStyle w:val="6"/>
                <w:rFonts w:hint="eastAsia" w:ascii="仿宋" w:hAnsi="仿宋" w:eastAsia="仿宋"/>
                <w:szCs w:val="21"/>
              </w:rPr>
              <w:t>https://appi.0793srtv.cn/webDetails/news?id=13032645&amp;tenantId=303&amp;uid=688c32241b00b900196e01e0</w:t>
            </w:r>
            <w:r>
              <w:rPr>
                <w:rFonts w:hint="eastAsia" w:ascii="仿宋" w:hAnsi="仿宋" w:eastAsia="仿宋"/>
                <w:color w:val="000000"/>
                <w:szCs w:val="21"/>
              </w:rPr>
              <w:fldChar w:fldCharType="end"/>
            </w:r>
          </w:p>
          <w:p w14:paraId="7D8AE4CF">
            <w:pPr>
              <w:spacing w:line="300" w:lineRule="exact"/>
              <w:rPr>
                <w:rFonts w:hint="eastAsia" w:ascii="仿宋" w:hAnsi="仿宋" w:eastAsia="仿宋"/>
                <w:color w:val="000000"/>
                <w:szCs w:val="21"/>
              </w:rPr>
            </w:pPr>
          </w:p>
        </w:tc>
      </w:tr>
      <w:tr w14:paraId="043A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trPr>
        <w:tc>
          <w:tcPr>
            <w:tcW w:w="707" w:type="dxa"/>
            <w:vMerge w:val="continue"/>
            <w:tcBorders>
              <w:top w:val="single" w:color="auto" w:sz="4" w:space="0"/>
              <w:left w:val="single" w:color="auto" w:sz="4" w:space="0"/>
              <w:bottom w:val="single" w:color="auto" w:sz="4" w:space="0"/>
              <w:right w:val="single" w:color="auto" w:sz="4" w:space="0"/>
            </w:tcBorders>
            <w:vAlign w:val="center"/>
          </w:tcPr>
          <w:p w14:paraId="3E9E2C12">
            <w:pPr>
              <w:widowControl/>
              <w:spacing w:line="300" w:lineRule="exact"/>
              <w:jc w:val="left"/>
              <w:rPr>
                <w:rFonts w:hint="eastAsia" w:ascii="华文中宋" w:hAnsi="华文中宋" w:eastAsia="华文中宋"/>
                <w:color w:val="000000"/>
                <w:sz w:val="28"/>
              </w:rPr>
            </w:pPr>
          </w:p>
        </w:tc>
        <w:tc>
          <w:tcPr>
            <w:tcW w:w="988" w:type="dxa"/>
            <w:gridSpan w:val="3"/>
            <w:vMerge w:val="continue"/>
            <w:tcBorders>
              <w:top w:val="single" w:color="auto" w:sz="4" w:space="0"/>
              <w:left w:val="single" w:color="auto" w:sz="4" w:space="0"/>
              <w:bottom w:val="single" w:color="auto" w:sz="4" w:space="0"/>
              <w:right w:val="single" w:color="auto" w:sz="4" w:space="0"/>
            </w:tcBorders>
            <w:vAlign w:val="center"/>
          </w:tcPr>
          <w:p w14:paraId="550D7113">
            <w:pPr>
              <w:widowControl/>
              <w:spacing w:line="300" w:lineRule="exact"/>
              <w:jc w:val="left"/>
              <w:rPr>
                <w:rFonts w:hint="eastAsia" w:ascii="仿宋" w:hAnsi="仿宋" w:eastAsia="仿宋" w:cs="仿宋"/>
                <w:color w:val="000000"/>
                <w:szCs w:val="21"/>
              </w:rPr>
            </w:pPr>
          </w:p>
        </w:tc>
        <w:tc>
          <w:tcPr>
            <w:tcW w:w="426" w:type="dxa"/>
            <w:tcBorders>
              <w:top w:val="single" w:color="auto" w:sz="4" w:space="0"/>
              <w:left w:val="single" w:color="auto" w:sz="4" w:space="0"/>
              <w:bottom w:val="single" w:color="auto" w:sz="4" w:space="0"/>
              <w:right w:val="single" w:color="auto" w:sz="4" w:space="0"/>
            </w:tcBorders>
            <w:vAlign w:val="center"/>
          </w:tcPr>
          <w:p w14:paraId="7FB7CB20">
            <w:pPr>
              <w:spacing w:line="300" w:lineRule="exact"/>
              <w:rPr>
                <w:rFonts w:hint="eastAsia" w:ascii="仿宋" w:hAnsi="仿宋" w:eastAsia="仿宋" w:cs="仿宋"/>
                <w:color w:val="000000"/>
                <w:szCs w:val="21"/>
              </w:rPr>
            </w:pPr>
            <w:r>
              <w:rPr>
                <w:rFonts w:hint="eastAsia" w:ascii="仿宋" w:hAnsi="仿宋" w:eastAsia="仿宋" w:cs="仿宋"/>
                <w:color w:val="000000"/>
                <w:szCs w:val="21"/>
              </w:rPr>
              <w:t>3</w:t>
            </w:r>
          </w:p>
        </w:tc>
        <w:tc>
          <w:tcPr>
            <w:tcW w:w="7510" w:type="dxa"/>
            <w:gridSpan w:val="17"/>
            <w:tcBorders>
              <w:top w:val="single" w:color="auto" w:sz="4" w:space="0"/>
              <w:left w:val="single" w:color="auto" w:sz="4" w:space="0"/>
              <w:bottom w:val="single" w:color="auto" w:sz="4" w:space="0"/>
              <w:right w:val="single" w:color="auto" w:sz="4" w:space="0"/>
            </w:tcBorders>
            <w:vAlign w:val="center"/>
          </w:tcPr>
          <w:p w14:paraId="48F89A0A">
            <w:pPr>
              <w:spacing w:line="300" w:lineRule="exact"/>
              <w:rPr>
                <w:rFonts w:hint="eastAsia" w:ascii="仿宋" w:hAnsi="仿宋" w:eastAsia="仿宋"/>
                <w:color w:val="000000"/>
                <w:szCs w:val="21"/>
              </w:rPr>
            </w:pPr>
          </w:p>
        </w:tc>
      </w:tr>
      <w:tr w14:paraId="4C0B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trPr>
        <w:tc>
          <w:tcPr>
            <w:tcW w:w="707" w:type="dxa"/>
            <w:vMerge w:val="continue"/>
            <w:tcBorders>
              <w:top w:val="single" w:color="auto" w:sz="4" w:space="0"/>
              <w:left w:val="single" w:color="auto" w:sz="4" w:space="0"/>
              <w:bottom w:val="single" w:color="auto" w:sz="4" w:space="0"/>
              <w:right w:val="single" w:color="auto" w:sz="4" w:space="0"/>
            </w:tcBorders>
            <w:vAlign w:val="center"/>
          </w:tcPr>
          <w:p w14:paraId="497FC8DF">
            <w:pPr>
              <w:widowControl/>
              <w:spacing w:line="300" w:lineRule="exact"/>
              <w:jc w:val="left"/>
              <w:rPr>
                <w:rFonts w:hint="eastAsia" w:ascii="华文中宋" w:hAnsi="华文中宋" w:eastAsia="华文中宋"/>
                <w:color w:val="000000"/>
                <w:sz w:val="28"/>
              </w:rPr>
            </w:pPr>
          </w:p>
        </w:tc>
        <w:tc>
          <w:tcPr>
            <w:tcW w:w="2546" w:type="dxa"/>
            <w:gridSpan w:val="6"/>
            <w:tcBorders>
              <w:top w:val="single" w:color="auto" w:sz="4" w:space="0"/>
              <w:left w:val="single" w:color="auto" w:sz="4" w:space="0"/>
              <w:bottom w:val="single" w:color="auto" w:sz="4" w:space="0"/>
              <w:right w:val="single" w:color="auto" w:sz="4" w:space="0"/>
            </w:tcBorders>
            <w:vAlign w:val="center"/>
          </w:tcPr>
          <w:p w14:paraId="4649FEAF">
            <w:pPr>
              <w:spacing w:line="300" w:lineRule="exact"/>
              <w:rPr>
                <w:rFonts w:hint="eastAsia" w:ascii="仿宋" w:hAnsi="仿宋" w:eastAsia="仿宋"/>
                <w:color w:val="000000"/>
                <w:szCs w:val="21"/>
              </w:rPr>
            </w:pPr>
            <w:r>
              <w:rPr>
                <w:rFonts w:hint="eastAsia" w:ascii="仿宋" w:hAnsi="仿宋" w:eastAsia="仿宋" w:cs="仿宋"/>
                <w:color w:val="000000"/>
                <w:szCs w:val="21"/>
              </w:rPr>
              <w:t>阅读量（浏览量、点击量）</w:t>
            </w:r>
          </w:p>
        </w:tc>
        <w:tc>
          <w:tcPr>
            <w:tcW w:w="1417" w:type="dxa"/>
            <w:gridSpan w:val="3"/>
            <w:tcBorders>
              <w:top w:val="single" w:color="auto" w:sz="4" w:space="0"/>
              <w:left w:val="single" w:color="auto" w:sz="4" w:space="0"/>
              <w:bottom w:val="single" w:color="auto" w:sz="4" w:space="0"/>
              <w:right w:val="single" w:color="auto" w:sz="4" w:space="0"/>
            </w:tcBorders>
            <w:vAlign w:val="center"/>
          </w:tcPr>
          <w:p w14:paraId="1FBC5A17">
            <w:pPr>
              <w:spacing w:line="300" w:lineRule="exact"/>
              <w:rPr>
                <w:rFonts w:hint="eastAsia" w:ascii="仿宋" w:hAnsi="仿宋" w:eastAsia="仿宋"/>
                <w:color w:val="000000"/>
                <w:szCs w:val="21"/>
              </w:rPr>
            </w:pPr>
          </w:p>
        </w:tc>
        <w:tc>
          <w:tcPr>
            <w:tcW w:w="992" w:type="dxa"/>
            <w:gridSpan w:val="4"/>
            <w:tcBorders>
              <w:top w:val="single" w:color="auto" w:sz="4" w:space="0"/>
              <w:left w:val="single" w:color="auto" w:sz="4" w:space="0"/>
              <w:bottom w:val="single" w:color="auto" w:sz="4" w:space="0"/>
              <w:right w:val="single" w:color="auto" w:sz="4" w:space="0"/>
            </w:tcBorders>
            <w:vAlign w:val="center"/>
          </w:tcPr>
          <w:p w14:paraId="17D8E805">
            <w:pPr>
              <w:spacing w:line="300" w:lineRule="exact"/>
              <w:rPr>
                <w:rFonts w:hint="eastAsia" w:ascii="仿宋" w:hAnsi="仿宋" w:eastAsia="仿宋"/>
                <w:color w:val="000000"/>
                <w:szCs w:val="21"/>
              </w:rPr>
            </w:pPr>
            <w:r>
              <w:rPr>
                <w:rFonts w:hint="eastAsia" w:ascii="仿宋" w:hAnsi="仿宋" w:eastAsia="仿宋" w:cs="仿宋"/>
                <w:color w:val="000000"/>
                <w:szCs w:val="21"/>
              </w:rPr>
              <w:t>转载量</w:t>
            </w:r>
          </w:p>
        </w:tc>
        <w:tc>
          <w:tcPr>
            <w:tcW w:w="1420" w:type="dxa"/>
            <w:gridSpan w:val="4"/>
            <w:tcBorders>
              <w:top w:val="single" w:color="auto" w:sz="4" w:space="0"/>
              <w:left w:val="single" w:color="auto" w:sz="4" w:space="0"/>
              <w:bottom w:val="single" w:color="auto" w:sz="4" w:space="0"/>
              <w:right w:val="single" w:color="auto" w:sz="4" w:space="0"/>
            </w:tcBorders>
            <w:vAlign w:val="center"/>
          </w:tcPr>
          <w:p w14:paraId="7749BC1D">
            <w:pPr>
              <w:spacing w:line="300" w:lineRule="exact"/>
              <w:rPr>
                <w:rFonts w:hint="eastAsia" w:ascii="仿宋" w:hAnsi="仿宋" w:eastAsia="仿宋"/>
                <w:color w:val="000000"/>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62C29C7E">
            <w:pPr>
              <w:spacing w:line="300" w:lineRule="exact"/>
              <w:rPr>
                <w:rFonts w:hint="eastAsia" w:ascii="仿宋" w:hAnsi="仿宋" w:eastAsia="仿宋"/>
                <w:color w:val="000000"/>
                <w:szCs w:val="21"/>
              </w:rPr>
            </w:pPr>
            <w:r>
              <w:rPr>
                <w:rFonts w:hint="eastAsia" w:ascii="仿宋" w:hAnsi="仿宋" w:eastAsia="仿宋" w:cs="仿宋"/>
                <w:color w:val="000000"/>
                <w:szCs w:val="21"/>
              </w:rPr>
              <w:t>互动量</w:t>
            </w:r>
          </w:p>
        </w:tc>
        <w:tc>
          <w:tcPr>
            <w:tcW w:w="1557" w:type="dxa"/>
            <w:gridSpan w:val="2"/>
            <w:tcBorders>
              <w:top w:val="single" w:color="auto" w:sz="4" w:space="0"/>
              <w:left w:val="single" w:color="auto" w:sz="4" w:space="0"/>
              <w:bottom w:val="single" w:color="auto" w:sz="4" w:space="0"/>
              <w:right w:val="single" w:color="auto" w:sz="4" w:space="0"/>
            </w:tcBorders>
            <w:vAlign w:val="center"/>
          </w:tcPr>
          <w:p w14:paraId="5EFA86A2">
            <w:pPr>
              <w:spacing w:line="300" w:lineRule="exact"/>
              <w:rPr>
                <w:rFonts w:hint="eastAsia" w:ascii="仿宋" w:hAnsi="仿宋" w:eastAsia="仿宋"/>
                <w:color w:val="000000"/>
                <w:szCs w:val="21"/>
              </w:rPr>
            </w:pPr>
          </w:p>
        </w:tc>
      </w:tr>
      <w:tr w14:paraId="491D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trPr>
        <w:tc>
          <w:tcPr>
            <w:tcW w:w="1569" w:type="dxa"/>
            <w:gridSpan w:val="3"/>
            <w:tcBorders>
              <w:bottom w:val="single" w:color="auto" w:sz="4" w:space="0"/>
            </w:tcBorders>
            <w:vAlign w:val="center"/>
          </w:tcPr>
          <w:p w14:paraId="31BD3A92">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4"/>
                <w:szCs w:val="24"/>
              </w:rPr>
              <w:t>推荐理由</w:t>
            </w:r>
          </w:p>
        </w:tc>
        <w:tc>
          <w:tcPr>
            <w:tcW w:w="8062" w:type="dxa"/>
            <w:gridSpan w:val="19"/>
            <w:tcBorders>
              <w:bottom w:val="single" w:color="auto" w:sz="4" w:space="0"/>
            </w:tcBorders>
            <w:vAlign w:val="center"/>
          </w:tcPr>
          <w:p w14:paraId="2598E7BD">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rPr>
              <w:t xml:space="preserve">                                      </w:t>
            </w:r>
          </w:p>
          <w:p w14:paraId="55C26058">
            <w:pPr>
              <w:spacing w:line="300" w:lineRule="exact"/>
              <w:rPr>
                <w:rFonts w:hint="eastAsia" w:ascii="仿宋" w:hAnsi="仿宋" w:eastAsia="仿宋" w:cs="Times New Roman"/>
                <w:color w:val="000000"/>
                <w:szCs w:val="21"/>
              </w:rPr>
            </w:pPr>
            <w:r>
              <w:rPr>
                <w:rFonts w:hint="eastAsia" w:ascii="仿宋" w:hAnsi="仿宋" w:eastAsia="仿宋" w:cs="Times New Roman"/>
                <w:color w:val="000000"/>
                <w:spacing w:val="-2"/>
                <w:szCs w:val="21"/>
              </w:rPr>
              <w:t xml:space="preserve">                             单位主要负责人签名：</w:t>
            </w:r>
          </w:p>
          <w:p w14:paraId="1CF6F4E6">
            <w:pPr>
              <w:spacing w:line="300" w:lineRule="exact"/>
              <w:rPr>
                <w:rFonts w:hint="eastAsia" w:ascii="仿宋" w:hAnsi="仿宋" w:eastAsia="仿宋" w:cs="Times New Roman"/>
                <w:color w:val="000000"/>
                <w:szCs w:val="21"/>
              </w:rPr>
            </w:pPr>
            <w:r>
              <w:rPr>
                <w:rFonts w:hint="eastAsia" w:ascii="仿宋" w:hAnsi="仿宋" w:eastAsia="仿宋" w:cs="Times New Roman"/>
                <w:color w:val="000000"/>
                <w:szCs w:val="21"/>
              </w:rPr>
              <w:t xml:space="preserve">                                                      </w:t>
            </w:r>
            <w:r>
              <w:rPr>
                <w:rFonts w:ascii="仿宋" w:hAnsi="仿宋" w:eastAsia="仿宋" w:cs="Times New Roman"/>
                <w:color w:val="000000"/>
                <w:szCs w:val="21"/>
              </w:rPr>
              <w:t xml:space="preserve">年  </w:t>
            </w:r>
            <w:r>
              <w:rPr>
                <w:rFonts w:hint="eastAsia" w:ascii="仿宋" w:hAnsi="仿宋" w:eastAsia="仿宋" w:cs="Times New Roman"/>
                <w:color w:val="000000"/>
                <w:szCs w:val="21"/>
              </w:rPr>
              <w:t>月</w:t>
            </w:r>
            <w:r>
              <w:rPr>
                <w:rFonts w:ascii="仿宋" w:hAnsi="仿宋" w:eastAsia="仿宋" w:cs="Times New Roman"/>
                <w:color w:val="000000"/>
                <w:szCs w:val="21"/>
              </w:rPr>
              <w:t xml:space="preserve">  </w:t>
            </w:r>
            <w:r>
              <w:rPr>
                <w:rFonts w:hint="eastAsia" w:ascii="仿宋" w:hAnsi="仿宋" w:eastAsia="仿宋" w:cs="Times New Roman"/>
                <w:color w:val="000000"/>
                <w:szCs w:val="21"/>
              </w:rPr>
              <w:t>日</w:t>
            </w:r>
          </w:p>
        </w:tc>
      </w:tr>
      <w:tr w14:paraId="3272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trPr>
        <w:tc>
          <w:tcPr>
            <w:tcW w:w="989" w:type="dxa"/>
            <w:gridSpan w:val="2"/>
            <w:tcBorders>
              <w:top w:val="single" w:color="auto" w:sz="4" w:space="0"/>
              <w:bottom w:val="single" w:color="auto" w:sz="4" w:space="0"/>
            </w:tcBorders>
            <w:vAlign w:val="center"/>
          </w:tcPr>
          <w:p w14:paraId="1B762B39">
            <w:pPr>
              <w:spacing w:line="30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rPr>
              <w:t>作者</w:t>
            </w:r>
          </w:p>
        </w:tc>
        <w:tc>
          <w:tcPr>
            <w:tcW w:w="2713" w:type="dxa"/>
            <w:gridSpan w:val="6"/>
            <w:tcBorders>
              <w:top w:val="single" w:color="auto" w:sz="4" w:space="0"/>
              <w:bottom w:val="single" w:color="auto" w:sz="4" w:space="0"/>
            </w:tcBorders>
            <w:vAlign w:val="center"/>
          </w:tcPr>
          <w:p w14:paraId="1F64E2A8">
            <w:pPr>
              <w:spacing w:line="300" w:lineRule="exact"/>
              <w:rPr>
                <w:rFonts w:hint="eastAsia" w:ascii="仿宋" w:hAnsi="仿宋" w:eastAsia="仿宋" w:cs="Times New Roman"/>
                <w:color w:val="000000"/>
                <w:sz w:val="32"/>
                <w:szCs w:val="21"/>
                <w:lang w:eastAsia="zh-CN"/>
              </w:rPr>
            </w:pPr>
            <w:r>
              <w:rPr>
                <w:rFonts w:hint="eastAsia" w:ascii="仿宋" w:hAnsi="仿宋" w:eastAsia="仿宋" w:cs="Times New Roman"/>
                <w:color w:val="000000"/>
                <w:szCs w:val="21"/>
                <w:lang w:eastAsia="zh-CN"/>
              </w:rPr>
              <w:t>戚虹鸿</w:t>
            </w:r>
          </w:p>
        </w:tc>
        <w:tc>
          <w:tcPr>
            <w:tcW w:w="1200" w:type="dxa"/>
            <w:gridSpan w:val="3"/>
            <w:tcBorders>
              <w:top w:val="single" w:color="auto" w:sz="4" w:space="0"/>
              <w:bottom w:val="single" w:color="auto" w:sz="4" w:space="0"/>
            </w:tcBorders>
            <w:vAlign w:val="center"/>
          </w:tcPr>
          <w:p w14:paraId="7C57FC4D">
            <w:pPr>
              <w:spacing w:line="300" w:lineRule="exact"/>
              <w:rPr>
                <w:rFonts w:hint="eastAsia" w:ascii="仿宋" w:hAnsi="仿宋" w:eastAsia="仿宋" w:cs="Times New Roman"/>
                <w:color w:val="000000"/>
                <w:sz w:val="32"/>
                <w:szCs w:val="21"/>
              </w:rPr>
            </w:pPr>
            <w:r>
              <w:rPr>
                <w:rFonts w:hint="eastAsia" w:ascii="华文中宋" w:hAnsi="华文中宋" w:eastAsia="华文中宋" w:cs="Times New Roman"/>
                <w:color w:val="000000"/>
                <w:sz w:val="28"/>
              </w:rPr>
              <w:t>手机</w:t>
            </w:r>
          </w:p>
        </w:tc>
        <w:tc>
          <w:tcPr>
            <w:tcW w:w="4729" w:type="dxa"/>
            <w:gridSpan w:val="11"/>
            <w:tcBorders>
              <w:top w:val="single" w:color="auto" w:sz="4" w:space="0"/>
              <w:bottom w:val="single" w:color="auto" w:sz="4" w:space="0"/>
            </w:tcBorders>
            <w:vAlign w:val="center"/>
          </w:tcPr>
          <w:p w14:paraId="56771BCB">
            <w:pPr>
              <w:spacing w:line="300" w:lineRule="exact"/>
              <w:rPr>
                <w:rFonts w:hint="default" w:ascii="仿宋" w:hAnsi="仿宋" w:eastAsia="仿宋" w:cs="Times New Roman"/>
                <w:color w:val="000000"/>
                <w:szCs w:val="21"/>
                <w:lang w:val="en-US" w:eastAsia="zh-CN"/>
              </w:rPr>
            </w:pPr>
            <w:r>
              <w:rPr>
                <w:rFonts w:hint="eastAsia" w:ascii="仿宋" w:hAnsi="仿宋" w:eastAsia="仿宋" w:cs="Times New Roman"/>
                <w:color w:val="000000"/>
                <w:szCs w:val="21"/>
                <w:lang w:val="en-US" w:eastAsia="zh-CN"/>
              </w:rPr>
              <w:t>15270091551</w:t>
            </w:r>
          </w:p>
        </w:tc>
      </w:tr>
    </w:tbl>
    <w:p w14:paraId="6D44643E">
      <w:pPr>
        <w:spacing w:line="240" w:lineRule="auto"/>
        <w:rPr>
          <w:rFonts w:hint="eastAsia" w:ascii="仿宋" w:hAnsi="仿宋" w:eastAsia="仿宋"/>
          <w:lang w:eastAsia="zh-CN"/>
        </w:rPr>
      </w:pPr>
      <w:r>
        <w:rPr>
          <w:rFonts w:hint="eastAsia" w:ascii="仿宋" w:hAnsi="仿宋" w:eastAsia="仿宋"/>
          <w:lang w:eastAsia="zh-CN"/>
        </w:rPr>
        <w:drawing>
          <wp:inline distT="0" distB="0" distL="114300" distR="114300">
            <wp:extent cx="5277485" cy="7670165"/>
            <wp:effectExtent l="0" t="0" r="18415" b="6985"/>
            <wp:docPr id="2" name="图片 2" descr="万羽归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万羽归来_01"/>
                    <pic:cNvPicPr>
                      <a:picLocks noChangeAspect="1"/>
                    </pic:cNvPicPr>
                  </pic:nvPicPr>
                  <pic:blipFill>
                    <a:blip r:embed="rId4"/>
                    <a:stretch>
                      <a:fillRect/>
                    </a:stretch>
                  </pic:blipFill>
                  <pic:spPr>
                    <a:xfrm>
                      <a:off x="0" y="0"/>
                      <a:ext cx="5277485" cy="7670165"/>
                    </a:xfrm>
                    <a:prstGeom prst="rect">
                      <a:avLst/>
                    </a:prstGeom>
                  </pic:spPr>
                </pic:pic>
              </a:graphicData>
            </a:graphic>
          </wp:inline>
        </w:drawing>
      </w:r>
    </w:p>
    <w:p w14:paraId="2D95D913">
      <w:pPr>
        <w:spacing w:line="240" w:lineRule="auto"/>
        <w:rPr>
          <w:rFonts w:hint="eastAsia" w:ascii="仿宋" w:hAnsi="仿宋" w:eastAsia="仿宋"/>
          <w:sz w:val="28"/>
          <w:szCs w:val="28"/>
          <w:lang w:eastAsia="zh-CN"/>
        </w:rPr>
      </w:pPr>
    </w:p>
    <w:p w14:paraId="04D310B9">
      <w:pPr>
        <w:spacing w:line="240" w:lineRule="auto"/>
        <w:rPr>
          <w:rFonts w:hint="eastAsia" w:ascii="仿宋" w:hAnsi="仿宋" w:eastAsia="仿宋"/>
          <w:sz w:val="28"/>
          <w:szCs w:val="28"/>
          <w:lang w:eastAsia="zh-CN"/>
        </w:rPr>
      </w:pPr>
    </w:p>
    <w:p w14:paraId="5394AF48">
      <w:pPr>
        <w:spacing w:line="240" w:lineRule="auto"/>
        <w:rPr>
          <w:rFonts w:hint="eastAsia" w:ascii="仿宋" w:hAnsi="仿宋" w:eastAsia="仿宋"/>
          <w:sz w:val="28"/>
          <w:szCs w:val="28"/>
          <w:lang w:eastAsia="zh-CN"/>
        </w:rPr>
      </w:pPr>
    </w:p>
    <w:p w14:paraId="6584BBE8">
      <w:pPr>
        <w:spacing w:line="240" w:lineRule="auto"/>
        <w:rPr>
          <w:rFonts w:hint="eastAsia" w:ascii="仿宋" w:hAnsi="仿宋" w:eastAsia="仿宋"/>
          <w:sz w:val="28"/>
          <w:szCs w:val="28"/>
          <w:lang w:eastAsia="zh-CN"/>
        </w:rPr>
      </w:pPr>
    </w:p>
    <w:p w14:paraId="34315022">
      <w:pPr>
        <w:spacing w:line="240" w:lineRule="auto"/>
        <w:rPr>
          <w:rFonts w:hint="eastAsia" w:ascii="仿宋" w:hAnsi="仿宋" w:eastAsia="仿宋"/>
          <w:sz w:val="28"/>
          <w:szCs w:val="28"/>
          <w:lang w:eastAsia="zh-CN"/>
        </w:rPr>
      </w:pPr>
      <w:r>
        <w:rPr>
          <w:rFonts w:hint="eastAsia" w:ascii="仿宋" w:hAnsi="仿宋" w:eastAsia="仿宋"/>
          <w:sz w:val="28"/>
          <w:szCs w:val="28"/>
          <w:lang w:eastAsia="zh-CN"/>
        </w:rPr>
        <w:t>副刊作品</w:t>
      </w:r>
    </w:p>
    <w:p w14:paraId="451498AD">
      <w:pPr>
        <w:keepNext w:val="0"/>
        <w:keepLines w:val="0"/>
        <w:pageBreakBefore w:val="0"/>
        <w:widowControl w:val="0"/>
        <w:kinsoku/>
        <w:wordWrap/>
        <w:overflowPunct/>
        <w:topLinePunct w:val="0"/>
        <w:autoSpaceDE/>
        <w:autoSpaceDN/>
        <w:bidi w:val="0"/>
        <w:adjustRightInd/>
        <w:snapToGrid/>
        <w:spacing w:line="560" w:lineRule="exact"/>
        <w:ind w:firstLine="708" w:firstLineChars="20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万羽归来</w:t>
      </w:r>
    </w:p>
    <w:p w14:paraId="0919F7C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center"/>
        <w:textAlignment w:val="auto"/>
        <w:rPr>
          <w:rFonts w:hint="eastAsia"/>
          <w:sz w:val="28"/>
          <w:szCs w:val="28"/>
        </w:rPr>
      </w:pPr>
    </w:p>
    <w:p w14:paraId="0F107638">
      <w:pPr>
        <w:keepNext w:val="0"/>
        <w:keepLines w:val="0"/>
        <w:pageBreakBefore w:val="0"/>
        <w:widowControl w:val="0"/>
        <w:kinsoku/>
        <w:wordWrap/>
        <w:overflowPunct/>
        <w:topLinePunct w:val="0"/>
        <w:autoSpaceDE/>
        <w:autoSpaceDN/>
        <w:bidi w:val="0"/>
        <w:adjustRightInd/>
        <w:snapToGrid/>
        <w:spacing w:line="560" w:lineRule="exact"/>
        <w:ind w:firstLine="548" w:firstLineChars="20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作者：</w:t>
      </w:r>
      <w:r>
        <w:rPr>
          <w:rFonts w:hint="eastAsia" w:ascii="仿宋" w:hAnsi="仿宋" w:eastAsia="仿宋" w:cs="仿宋"/>
          <w:sz w:val="24"/>
          <w:szCs w:val="24"/>
        </w:rPr>
        <w:t>张明金</w:t>
      </w:r>
      <w:r>
        <w:rPr>
          <w:rFonts w:hint="eastAsia" w:ascii="仿宋" w:hAnsi="仿宋" w:eastAsia="仿宋" w:cs="仿宋"/>
          <w:sz w:val="24"/>
          <w:szCs w:val="24"/>
          <w:lang w:eastAsia="zh-CN"/>
        </w:rPr>
        <w:t>、</w:t>
      </w:r>
      <w:r>
        <w:rPr>
          <w:rFonts w:hint="eastAsia" w:ascii="仿宋" w:hAnsi="仿宋" w:eastAsia="仿宋" w:cs="仿宋"/>
          <w:sz w:val="24"/>
          <w:szCs w:val="24"/>
        </w:rPr>
        <w:t>邹萍艳</w:t>
      </w:r>
      <w:r>
        <w:rPr>
          <w:rFonts w:hint="eastAsia" w:ascii="仿宋" w:hAnsi="仿宋" w:eastAsia="仿宋" w:cs="仿宋"/>
          <w:sz w:val="24"/>
          <w:szCs w:val="24"/>
          <w:lang w:eastAsia="zh-CN"/>
        </w:rPr>
        <w:t>、</w:t>
      </w:r>
      <w:r>
        <w:rPr>
          <w:rFonts w:hint="eastAsia" w:ascii="仿宋" w:hAnsi="仿宋" w:eastAsia="仿宋" w:cs="仿宋"/>
          <w:sz w:val="24"/>
          <w:szCs w:val="24"/>
        </w:rPr>
        <w:t>戚虹鸿</w:t>
      </w:r>
    </w:p>
    <w:p w14:paraId="0A2F3AB5">
      <w:pPr>
        <w:keepNext w:val="0"/>
        <w:keepLines w:val="0"/>
        <w:pageBreakBefore w:val="0"/>
        <w:widowControl w:val="0"/>
        <w:kinsoku/>
        <w:wordWrap/>
        <w:overflowPunct/>
        <w:topLinePunct w:val="0"/>
        <w:autoSpaceDE/>
        <w:autoSpaceDN/>
        <w:bidi w:val="0"/>
        <w:adjustRightInd/>
        <w:snapToGrid/>
        <w:spacing w:line="560" w:lineRule="exact"/>
        <w:ind w:firstLine="548"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编辑：陈华英、蒋春、任克翔</w:t>
      </w:r>
    </w:p>
    <w:p w14:paraId="198DBF16">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方正仿宋_GB2312" w:hAnsi="方正仿宋_GB2312" w:eastAsia="方正仿宋_GB2312" w:cs="方正仿宋_GB2312"/>
          <w:sz w:val="28"/>
          <w:szCs w:val="28"/>
        </w:rPr>
      </w:pPr>
    </w:p>
    <w:p w14:paraId="3422C69D">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人人都思念故乡，思念故乡的亲人和风物。动物也不例外。</w:t>
      </w:r>
    </w:p>
    <w:p w14:paraId="09A0085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水草丰美的鄱阳湖，养育了多少生灵，是谁的故乡，又是谁的归处？</w:t>
      </w:r>
    </w:p>
    <w:p w14:paraId="0502A484">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“落霞与孤鹜齐飞，秋水共长</w:t>
      </w:r>
      <w:bookmarkStart w:id="0" w:name="_GoBack"/>
      <w:bookmarkEnd w:id="0"/>
      <w:r>
        <w:rPr>
          <w:rFonts w:hint="eastAsia" w:ascii="仿宋" w:hAnsi="仿宋" w:eastAsia="仿宋" w:cs="仿宋"/>
          <w:sz w:val="28"/>
          <w:szCs w:val="28"/>
        </w:rPr>
        <w:t>天一色。”在水一方，是余干县公安局大湖派出所辅警何文黄的故乡，也是候鸟历经千辛万苦想要抵达的故乡。</w:t>
      </w:r>
    </w:p>
    <w:p w14:paraId="2EF34FEC">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立冬之后，数十万只候鸟从遥远的西伯利亚一带，飞回到鄱阳湖温暖又熟悉的怀抱。于是，上吞众水下纳长江的湖迎来了一年中最美也是最热闹的季节。</w:t>
      </w:r>
    </w:p>
    <w:p w14:paraId="4DD3E999">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清晨，阳光轻柔地洒在鱼米之乡的沃土上，周围的一切都欣欣然睁开了眼。此时，何文黄和几个同事刚结束又一天的晨巡任务。同一片蓝天下，丰收的稻田里，聚满了早起的鸟儿。白鹤、灰雁、豆雁、小天鹅，密密麻麻的候鸟，在千亩稻田里啄食着未收割的稻谷，这是白鹤洲特意为它们保留的过冬口粮，也是它们跨越千山万水都要追寻的味道。面对不远处聚集的长枪短炮和众多游人，长歌善舞的它们悠然自得地做着自己想做的事。或是引吭高歌，或是振翅飞舞，每一波鸟浪都会引来“哇”声一片，听着像是歌舞剧中热情洋溢的伴奏。</w:t>
      </w:r>
    </w:p>
    <w:p w14:paraId="684F58FA">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这是一幅多么让人心驰神往的画卷！每当看到这一幕，何文黄心中就会发出这般感叹。而一想到这样醉人的美丽，和他，和大湖“渔鸟派出所”的同事们，以及这里许许多多关心爱护候鸟的人都有关，何文黄的步伐便愈发坚定。</w:t>
      </w:r>
    </w:p>
    <w:p w14:paraId="19FE222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p>
    <w:p w14:paraId="24FC011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（一）</w:t>
      </w:r>
    </w:p>
    <w:p w14:paraId="268C7464">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鄱阳湖是亚洲最大的越冬候鸟栖息地。余干作为环鄱阳湖地区水域面积最大的县，吸引着人们“冬季到余干来看鸟”。</w:t>
      </w:r>
    </w:p>
    <w:p w14:paraId="2DD8B34C">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位于鄱阳湖东南岸的余干康山大堤，全长近37公里，以坚固之姿守护着身后的土地，迎接着翩翩归来的鸟、纷至沓来的游客。</w:t>
      </w:r>
    </w:p>
    <w:p w14:paraId="5A46F335">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仲冬，我们沿着大堤来到矗立在东头的大湖派出所，这个专司“渔鸟生态保护”之职的派出所，在十里八乡群众眼里是像定盘星一样的存在。</w:t>
      </w:r>
    </w:p>
    <w:p w14:paraId="232BC100">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古人素有和鸥鹭结盟为友的热忱，像辛弃疾在鸥鹭嬉戏的带湖边可以“一日走千回”而不倦。而今，何文黄和同事们为了守护鄱阳湖生态，守护鱼鸟的生命安全，不知疲倦地用脚步丈量着这片湖区。</w:t>
      </w:r>
    </w:p>
    <w:p w14:paraId="6EADAB11">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从起点到终点，是70多公里；从终点到起点，是70多公里。一日三巡，何文黄早已记不清和同事们背着望远镜、无人机等设备，沿着湖岸线巡逻了多少次，走了多少里路，陪伴了多少回日升月落，灌了多少寒风冷雨，挨了多少蚊虫叮咬。</w:t>
      </w:r>
    </w:p>
    <w:p w14:paraId="5B9C5A29">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早上5点起床，顶着启明星直奔湖区去查看“湿地精灵”是否安好；夜深了，还深一脚浅一脚地在滩涂上巡逻；记录候鸟们的动向，劝阻鄱阳湖垂钓人员，打击盗捕盗猎……</w:t>
      </w:r>
    </w:p>
    <w:p w14:paraId="44F507E7">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蓝天下，大雁排成“人”字形，一队队飞过；浅滩上，白鹤翩跹，天鹅游弋。</w:t>
      </w:r>
    </w:p>
    <w:p w14:paraId="61DD9D2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“所有的岁月静好都是有人在负重前行。”返乡加入到大湖派出所鱼鸟守护者行列的第4个年头，“90后”何文黄对这句话有了更深切的体会。</w:t>
      </w:r>
    </w:p>
    <w:p w14:paraId="1C25B167">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“早几年，我在南昌做带货主播。”离家的日子，萦绕心头的有眷恋的亲人，熟悉的山山水水，还有那开满滩涂的蓼子花、风中摇曳的荻花和湖中成群结队的“小精灵”。</w:t>
      </w:r>
    </w:p>
    <w:p w14:paraId="554F668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只是那时，他费尽心力想的是如何多卖点货多赚点钱养家，压根也没想过有朝一日鱼鸟会成为自己生命中的重中之重。</w:t>
      </w:r>
    </w:p>
    <w:p w14:paraId="4B98E8D7">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窗外的风从故乡赶来，带来了母亲的呼唤。2021年，游子停下漂泊的脚步，回到了故乡。这年伊始，长江流域重点水域十年禁渔全面启动。随着长江大保护之歌嘹亮唱响，父老乡亲的生态保护观念有了大转变。</w:t>
      </w:r>
    </w:p>
    <w:p w14:paraId="5B46185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“渔民们纷纷退捕上岸，护鱼护鸟的宣传不断，但是盗捕盗猎的事还偶有发生。”正在思考人生的路要怎么走的青年，在归家的日子，有了想要守护的新事物，也找到了前进的新方向。</w:t>
      </w:r>
    </w:p>
    <w:p w14:paraId="25145C5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当地的一项创新举措，让从小就喜欢小动物且有警察情结的何文黄得以圆梦。</w:t>
      </w:r>
    </w:p>
    <w:p w14:paraId="5BEE48F5">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康山大堤外是鄱阳湖核心湖区，640平方公里水域绵延多个乡镇，有候鸟、江豚这样的‘顶流’天团，丰富的生物多样性需要专业队伍来守护。”大湖派出所所长邹新昌谈起派出所成立的初衷。为护鄱湖安澜，让鱼鸟同欢，促进人与自然和谐共生，2021年，余干县成立了江西首个“渔鸟派出所”——余干县公安局大湖派出所，开创常态化保护生态的警务模式。</w:t>
      </w:r>
    </w:p>
    <w:p w14:paraId="2FD4047E">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派出所的同志们与鱼鸟的故事由此开启。而那些不法分子头上，又多了一把“达摩克利斯之剑”。</w:t>
      </w:r>
    </w:p>
    <w:p w14:paraId="6AC3FADD">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当“渔鸟派出所”成立的消息传开，人们都觉得很新奇。何文黄也是其中之一，“警察是人民卫士，如今又成了鱼鸟卫士、生态警察。”</w:t>
      </w:r>
    </w:p>
    <w:p w14:paraId="11B0EEC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后来的所见所闻，让何文黄明白：“守护它们，就是守护生态平衡，守护我们共同的家园。”意识到生态警察的神圣使命后，热血青年追随着他们的脚步，毫不犹豫地踏上了守护候鸟和江豚共同家园的路。</w:t>
      </w:r>
    </w:p>
    <w:p w14:paraId="48F1743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p>
    <w:p w14:paraId="6F211B41">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（二）</w:t>
      </w:r>
    </w:p>
    <w:p w14:paraId="3E6F2453">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鄱阳湖最美最热闹的季节，也是鱼鸟卫士们最紧张最忙碌的时候。</w:t>
      </w:r>
    </w:p>
    <w:p w14:paraId="3A716104">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“生物多样性家底不断‘增厚’。”监测数据显示，鄱阳湖重点水域禁捕后，鱼类资源量快速增长；目前在余干县发现的冬夏候鸟等种类已增至近400种，江豚种群数量恢复至300多头。</w:t>
      </w:r>
    </w:p>
    <w:p w14:paraId="5D734B27">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冬候鸟如约而至时，大批江豚也来报到了。</w:t>
      </w:r>
    </w:p>
    <w:p w14:paraId="4A0773F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我们问：“派出所20来号人，要守护好这成百上万的‘小精灵’的幸福生活，压力很大吧？”</w:t>
      </w:r>
    </w:p>
    <w:p w14:paraId="349FCC2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邹新昌回答：“一刻都不敢松懈，也不能松懈。鄱阳湖余干水域面广、线长、点多，‘技防’+‘人防’是鱼鸟保护的‘双保险’。”</w:t>
      </w:r>
    </w:p>
    <w:p w14:paraId="52F236B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工欲善其事，必先利其器。全域覆盖的智能网络便是当地为鄱湖鱼鸟护航、织密生态“保护网”的利器。</w:t>
      </w:r>
    </w:p>
    <w:p w14:paraId="514FB589">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2021年，余干县正式启动“智慧鄱阳湖生态管控平台”项目建设。这个集成了云计算、5G、大数据、物联网等前沿技术的“智慧大脑”，将传统的人力巡护升级为“空天地”一体化监测，实现全天候、全覆盖、全流程监测。</w:t>
      </w:r>
    </w:p>
    <w:p w14:paraId="6EF7A63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7架光电设备、4座无人机场、463路监控织成天网。一旦系统预警显示有可疑人员或车辆、船只进入特定水域，或存在非法捕捞、捕猎行为，公安、渔政马上联动出击。</w:t>
      </w:r>
    </w:p>
    <w:p w14:paraId="15B0E8EA">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“我们有了‘千里眼’和‘顺风耳’，一切尽在‘掌握中’。”胸有成竹的背后，藏着多少个磨砺技术的日夜，浸透了多少如候鸟迁徙般漫长的坚持。</w:t>
      </w:r>
    </w:p>
    <w:p w14:paraId="10455F2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“全员熟练掌握智慧系统和无人机操控技术。”为了用好“空中利器”，邹新昌11月刚到任，做的要紧事就是去参加技术培训，取得无人机操控员执照。</w:t>
      </w:r>
    </w:p>
    <w:p w14:paraId="3BDCB11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在监控画面上，我们看到，白天，高空瞭望镜头能清晰捕捉到直径15公里范围内的候鸟、江豚动态，无人机实时传回江豚嬉戏画面；夜晚，热成像技术让非法捕捞者无所遁形。</w:t>
      </w:r>
    </w:p>
    <w:p w14:paraId="225E6348">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科技让守护更精准。”12月3日晚上8点多，余干县鄱阳湖雷达光电综合智慧系统发出警报声。监控显示开渔码头附近有两人正摸黑在湖中放置渔网。邹新昌立马带领值班的李爱民、何文黄、彭文兴几人，去事发地抓捕违法嫌疑人。</w:t>
      </w:r>
    </w:p>
    <w:p w14:paraId="4D82AEC8">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“当场抓住一个，另一个躲进湖边的芦苇荡里。”</w:t>
      </w:r>
    </w:p>
    <w:p w14:paraId="4931064A">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月黑风高夜，伸手不见五指，众人在没过腰身的芦苇丛中睁大眼睛寻找着，生怕嫌疑人从眼皮子底下溜掉。虽然白天看着暖阳高照，但一到夜晚湖区便格外冷，5到7级的大风呼啦啦地，割得脸生疼，脚下又坑坑洼洼的，一不小心就会滑倒。</w:t>
      </w:r>
    </w:p>
    <w:p w14:paraId="1574819C">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尽管举步维艰，但在后方的指挥下，他们不断校准方向，一步步逼近目标。就这样历经3个多小时，终于将躲藏在芦苇荡深处的嫌疑人抓获。</w:t>
      </w:r>
    </w:p>
    <w:p w14:paraId="498DA493">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保护湖区生态环境工作严肃且辛苦，尤其在候鸟季，为了斩断伸向鱼鸟的“黑手”，大湖派出所民辅警们更是加大巡护巡查力度，将作息调成“候鸟模式”。</w:t>
      </w:r>
    </w:p>
    <w:p w14:paraId="5B9EA393">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不法分子往往选择在中午、凌晨和深夜作案。所以我们除了拉长战线做好日常巡护外，还有针对性地开展一些行动，比如凌晨蹲点守护、中午突击检查、深夜视频巡查。”邹新昌说，“不定时不定地点，我们多走一步，多看一眼，鱼鸟就多一分安全。”</w:t>
      </w:r>
    </w:p>
    <w:p w14:paraId="4B046A70">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派出所副所长盛志平谈起让他记忆犹新的一次蹲点行动。那是腊月的一个凌晨，在湖区巡逻的盛志平与同事发现不法分子正使用小汽艇在鄱阳湖水域从事非法捕捞。“不能让不法分子弃艇逃离”，于是盛志平和同事一道，还有渔政执法人员快速赶到湖区进行布控和蹲点，当场抓获涉嫌非法捕捞犯罪嫌疑人3人，成功打掉了这个涉嫌非法捕捞的违法犯罪团伙。在零下7摄氏度的气温中，刚收兵的盛志平他们心里却热乎乎的。</w:t>
      </w:r>
    </w:p>
    <w:p w14:paraId="763ACD2C">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w:t>
      </w:r>
    </w:p>
    <w:p w14:paraId="5BDA1CA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再凛冽的寒风、再艰苦的环境，都无法阻挡他们点亮鄱湖鱼鸟的幸福生活，守护“各美其美、美美与共”的那份美丽。</w:t>
      </w:r>
    </w:p>
    <w:p w14:paraId="653C9914">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p>
    <w:p w14:paraId="20EF4BB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（三）</w:t>
      </w:r>
    </w:p>
    <w:p w14:paraId="4DE5990A">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晴空万里，太阳在湖面上洒满金光，大湖派出所直面鄱阳湖，宛如一个深情的守望者。</w:t>
      </w:r>
    </w:p>
    <w:p w14:paraId="72B7F31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“在你们心里，候鸟和江豚意味着什么？”我们问。</w:t>
      </w:r>
    </w:p>
    <w:p w14:paraId="1CB73ACA">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“它们就像是我们的亲人。”民辅警们异口同声。</w:t>
      </w:r>
    </w:p>
    <w:p w14:paraId="295A1EC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这群可爱的人以大湖派出所为家，而这里，也是被救助珍贵濒危野生动物温暖的家。为了更好地保护生物多样性，大湖派出所内特别设置了珍贵濒危野生动物临时救助站。这里有林业部门专业工作人员常驻，配备了应急救护相关药品装备。几年来，大家倾力救助了30余只珍贵濒危野生动物。</w:t>
      </w:r>
    </w:p>
    <w:p w14:paraId="1A6693C6">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“近20天就参与了3次救助。”邹新昌说，所里同志得空就会学习相关知识，研究候鸟的主要特征和生活习性等，这些在关键时刻都能用得上。</w:t>
      </w:r>
    </w:p>
    <w:p w14:paraId="6564EE43">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接到举报有人在湖区架设捕鸟网后，我们立即赶到事发地。在齐膝深的泥沼里摸索了两个多小时，终于找到3张长达20多米的捕鸟网。”民警张世恩清楚地记得寒夜在泥沼里跋涉时刺骨的寒意和深深的担忧，记得看到捕鸟网上挂着3只奄奄一息的白琵鹭时的愤怒和心痛。当时，他们只有一个念头：一定要救活它们。他们脱下身上的棉警服，小心翼翼裹着鸟儿，回到临时救助站，一小口一小口地给它们喂葡萄糖水，用吹风机慢慢烘干它们的羽毛。张世恩也清楚地记得，凌晨4点，看到最后一只白琵鹭抬起头时大家的那份喜悦和激动。</w:t>
      </w:r>
    </w:p>
    <w:p w14:paraId="498BE523">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“多辛苦都值得！”当康复的鸟儿直上云霄的那一刻，所有的疲惫都烟消云散。</w:t>
      </w:r>
    </w:p>
    <w:p w14:paraId="1C644BC1">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今年年初，一只东方白鹳在康山水域被渔网缠住，左翼严重受伤。幸运的是，它被及时发现并带回了派出所。在这个新家里，它安心地接受了省里专家的治疗，喂食、陪伴、记录恢复情况，感受到大家满满的爱意后，这只白鹳格外地黏人，康复期间还经常跟着巡湖的快艇“遛弯儿”。放归那天，它在空中盘旋了3圈才缓缓离去，这群平常没时间带娃或没带过娃的汉子，不停向它挥手作别。</w:t>
      </w:r>
    </w:p>
    <w:p w14:paraId="2A413B5D">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找不到家长怎么办？放心，警察叔叔在的。去冬，4只离群的小天鹅幼鸟就在专属的“幼儿园”里快乐过冬。它们生活在划定的安全水域，吃着专人投放的玉米、水草。后来，附近的成年天鹅群主动加入到守护的行列，带着4只幼鸟觅食。在大家的关爱下，小家伙们一天天长大，并在两个月后顺利跟着大部队北飞。熟悉的身影远去，拉长了亲人的思念……</w:t>
      </w:r>
    </w:p>
    <w:p w14:paraId="3989F754">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用生命影响生命，用生命守护生命，一次次让人动容的生命接力，藏着他们的铁血柔情。</w:t>
      </w:r>
    </w:p>
    <w:p w14:paraId="1FD41E4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我们守护小家，你们守护大家。”因为爱所以爱，家人暖心的话语、坚定的支持，让守护绿色家园的脚步更有力量。今年52岁的一级警长李爱民，总认为自己在所里年纪最大，要带个好头。巡湖，不管早晚都要去，节假日更得去，饿了就咬一口馒头，累了就原地歇歇脚；无人机上线，学！飞手需持证上岗，考！肩负着沉甸甸的责任，即便身体亮起了红灯，他还是不辞辛劳地和年轻人一道越洲涉水。</w:t>
      </w:r>
    </w:p>
    <w:p w14:paraId="42849008">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“轻伤不下火线。6月份他因心血管疾病动手术住院，出院后只休息了半个月就归队了。”何文黄说，大家都劝李爱民注意身体多休息，他却念叨着多一个人能多一双眼睛。</w:t>
      </w:r>
    </w:p>
    <w:p w14:paraId="2C377DE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“它们也是我的孩子，一日不见心里就感觉少了什么。”正是这份割舍不下的亲情，这份无法抛却的牵挂，让大湖派出所民辅警们对鄱阳湖不离不弃。</w:t>
      </w:r>
    </w:p>
    <w:p w14:paraId="299ED91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p>
    <w:p w14:paraId="3730EBD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（四）</w:t>
      </w:r>
    </w:p>
    <w:p w14:paraId="4B178E0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鄱阳湖是候鸟和江豚的家，也是我们的家园，我们要像保护眼睛一样保护鄱阳湖，像爱护家人一样爱护候鸟和江豚！”在学校环保课堂上，何文黄点开手机里的照片，给学生讲救助候鸟的故事，讲如何辨别本地常见候鸟种类，“看，这是东方白鹳，国家一级保护动物；这是小天鹅……”</w:t>
      </w:r>
    </w:p>
    <w:p w14:paraId="1EE79DE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听到学生纷纷说“叔叔，我也要当鱼鸟小卫士”时，何文黄脸上露出欣慰的笑容。望着他们明亮的眼睛和认真的神情，他仿佛看到了鄱阳湖更加美好的未来。</w:t>
      </w:r>
    </w:p>
    <w:p w14:paraId="363749D1">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保护鄱阳湖不是一个人的事，是我们每个人的责任。”警车驶过江豚嬉戏的水域，驶过白鹤梳妆的浅滩，驶过群鸟跃动的田野，开进湖畔的村落。大湖派出所民辅警们走进田间地头，向群众普及野生动物保护知识和相关法律法规，讲述生态保护的意义，让更多的人了解母亲湖，认识到盗捕盗猎的危害。</w:t>
      </w:r>
    </w:p>
    <w:p w14:paraId="10F3D08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大湖派出所温馨提示:积极参与‘清网护鸟’行动，还鸟类自由天空。拆除捕鸟网，拒绝捕杀与交易……”无人机搭载着高音喇叭在村落上空缓缓飞行，循环播放护鸟宣言。随着银翼轻旋，爱的“种子”播撒到每一个角落。</w:t>
      </w:r>
    </w:p>
    <w:p w14:paraId="3B07825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像候鸟一样活跃在近20个重点村落10万余群众当中的环保宣传队伍，是湖区的另一道风景。邹新昌说，为进一步提高群众的生态文明意识，候鸟季来临时，大湖派出所和湿地保护等部门联合开展了候鸟保护专项宣传活动。自活动开展以来，辖区内有关候鸟的警情数量显著下降，群众主动护鸟、举报违法线索的积极性明显提高。</w:t>
      </w:r>
    </w:p>
    <w:p w14:paraId="032DC88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从赶鸟到护鸟，从捕鱼到护鱼，从不理解到支持，越来越多群众加入到保护生态的队伍中来。”张世恩说。过去，有些渔民觉得鸟抢了鱼，现在可不一样了，不少退捕渔民成了护鸟员、护鱼员，老周便是其中一位。这位昔日的“捕捉能手”，“洗脚上岸”后成了候鸟的知心朋友。他熟悉每处候鸟栖息地，给保护工作提供了不少帮助，去年还协助他们救了2只灰鹤。</w:t>
      </w:r>
    </w:p>
    <w:p w14:paraId="1EF7CBD3">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康山垦殖场白鹤洲湿地，是目前世界上最大的白鹤越冬地。这个曾把候鸟当“不速之客”驱赶的地方，如今成了候鸟乐园、知名观鸟胜地。</w:t>
      </w:r>
    </w:p>
    <w:p w14:paraId="373200AD">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以前看到鸟都烦。现在看到这么多候鸟真高兴，希望它们安稳过冬。”将百亩稻田中成熟稻子留给候鸟的村民邹节光深有感触地说。早先，大家为了保卫“丰收”，想尽办法从鸟嘴里抢粮，放过鞭炮，敲过锣，稻子七八分熟时也抢收过。那时，鸟吃得不安心，人抢得也头疼。后来，政府出台水稻集中补偿政策，拨款请村民预留了1000亩稻田不予收割，作为越冬候鸟的口粮。意识到“人鸟可以和谐共存”后，领到补偿金的村民感动之余，一边发展生态种植，让稻田里鱼虾螺蚌多起来，一边当起了护鸟员，在田间湖边巡护。看到候鸟吃得欢、玩得开心，他们心里也美滋滋的。</w:t>
      </w:r>
    </w:p>
    <w:p w14:paraId="30CBD5CD">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随着鄱阳湖湿地生态环境逐年向好，来这里安家的候鸟越来越多，何文黄看到不少小伙伴都从外地回来端上了“生态饭碗”，乡亲们脸上的笑容也越来越灿烂。</w:t>
      </w:r>
    </w:p>
    <w:p w14:paraId="7FC46ED9">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这笑容的背后是人鸟相互成就的故事——</w:t>
      </w:r>
    </w:p>
    <w:p w14:paraId="7277F092">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余干县连续8年实施鄱湖湿地生态补偿，累计投入资金1.87亿元，惠及群众37万余人。生态惠民，畅通了“两山”转化通道；增强生态保护合力，打造“红盾护鄱湖”品牌，组建党员带头、群众参与的8支专业执法队伍（大湖派出所是其中一支重要力量）……</w:t>
      </w:r>
    </w:p>
    <w:p w14:paraId="41514A8E">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人鸟相互成就的故事满是鲜活的注解。蜿蜒的观鸟长廊里，天南海北的游客架起“长枪短炮”。人流带来了活力，原本沉寂的村庄焕发了新生。当万千羽翼在夕阳下掀起金色波澜，当远道而来的摄影师发出由衷的赞叹，一种从未有过的自豪感，在邹节光、何文黄们心中悄然萌发。</w:t>
      </w:r>
    </w:p>
    <w:p w14:paraId="0907902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湖畔的农家乐、民宿如雨后春笋般涌现，“观鸟经济”如火如荼。前几年，与白鹤洲紧邻的瑞洪镇小山村，村民刘飞龙被观鸟热潮吸引，来到观鸟点附近开农家乐。“我们这的客人大多是观鸟爱好者。生意最好时，一天能接待20多桌，5个房间9张床位更是天天爆满。明年打算再加几个房间，再找几个帮手。”刘飞龙满面笑容地说，每年10月到次年3月的候鸟季就是他们的黄金季。他希望大家能一起加入保护候鸟的行列，让环境越来越好。</w:t>
      </w:r>
    </w:p>
    <w:p w14:paraId="18C32B0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“环境好了，鱼鸟多了，我们的日子才真正旺了。”这已成为湖区村民的共识。</w:t>
      </w:r>
    </w:p>
    <w:p w14:paraId="1CEBFFAB">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如今的白鹤洲湿地，鸟类种类已增至150余种，高峰期数量达到10万多只，每年吸引观鸟游客超10万人次，带动相关产业创收上百万元。今年以来，白鹤洲湿地周边就新增民宿、农家乐40余家，直接带动当地村民就业超200人，农户年户均增收2万余元。</w:t>
      </w:r>
    </w:p>
    <w:p w14:paraId="3DA594BA">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“越来越多人明白了这个道理——绿水青山就是金山银山。”看着田野里人鸟同乐的场景，邹新昌语气坚定，“我们一定会守护好母亲湖!”</w:t>
      </w:r>
    </w:p>
    <w:p w14:paraId="2DFF306F">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夜幕降临，灯火点点，大湖派出所的灯光长亮。结束了又一轮夜间巡查，何文黄站在派出所门前的空地上，望着沉寂的湖天，伸了伸腰。</w:t>
      </w:r>
    </w:p>
    <w:p w14:paraId="4BC6CC3D">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日子马不停蹄地往前赶，新的一年又将在和候鸟共度中开启。何文黄思绪飘远。从带货主播到湖畔的鱼鸟卫士、生态警察，他的人生轨迹发生了意想不到的转折。他和同事们倾力守护的这片山水，成了最无需推销却令人心驰神往的“产品”。他们守护的不仅仅是鄱湖鱼鸟与江豚，也是鄱阳湖的魂，更是这份来之不易的和谐。</w:t>
      </w:r>
    </w:p>
    <w:p w14:paraId="5B32C344">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明天，太阳依旧会照亮那片金色的“留食田”，鸟群会如期起舞，游客会满怀期待而来，村庄会在安宁中孕育新的生机。而他们将继续行走在长堤与水岸，为了长江“十年禁渔”之约，为了同一片蓝天、同一个家园。</w:t>
      </w:r>
    </w:p>
    <w:p w14:paraId="696961B0">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28"/>
          <w:szCs w:val="28"/>
        </w:rPr>
      </w:pPr>
      <w:r>
        <w:rPr>
          <w:rFonts w:hint="eastAsia" w:ascii="仿宋" w:hAnsi="仿宋" w:eastAsia="仿宋" w:cs="仿宋"/>
          <w:sz w:val="28"/>
          <w:szCs w:val="28"/>
        </w:rPr>
        <w:t>“鄱湖鸟，知多少？飞时遮尽云和月，落时不见湖边草。”万羽归来，归来的不仅是候鸟，更是人与万物共生共荣、充满希望的未来。</w:t>
      </w:r>
    </w:p>
    <w:p w14:paraId="617A18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lang w:eastAsia="zh-CN"/>
        </w:rPr>
      </w:pPr>
    </w:p>
    <w:sectPr>
      <w:pgSz w:w="11906" w:h="16838"/>
      <w:pgMar w:top="1440" w:right="1797" w:bottom="1440" w:left="1797" w:header="851" w:footer="992" w:gutter="0"/>
      <w:cols w:space="0" w:num="1"/>
      <w:rtlGutter w:val="0"/>
      <w:docGrid w:type="linesAndChars" w:linePitch="465" w:charSpace="705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F95C9B53-2A14-4F74-9751-8B0D91BC68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FD978254-116D-49D4-AD8F-2DE313997FE7}"/>
  </w:font>
  <w:font w:name="楷体">
    <w:panose1 w:val="02010609060101010101"/>
    <w:charset w:val="86"/>
    <w:family w:val="modern"/>
    <w:pitch w:val="default"/>
    <w:sig w:usb0="800002BF" w:usb1="38CF7CFA" w:usb2="00000016" w:usb3="00000000" w:csb0="00040001" w:csb1="00000000"/>
    <w:embedRegular r:id="rId3" w:fontKey="{52CD620E-4F10-4C7E-8473-B19D221B3E8B}"/>
  </w:font>
  <w:font w:name="方正小标宋简体">
    <w:panose1 w:val="03000509000000000000"/>
    <w:charset w:val="86"/>
    <w:family w:val="script"/>
    <w:pitch w:val="default"/>
    <w:sig w:usb0="00000001" w:usb1="080E0000" w:usb2="00000000" w:usb3="00000000" w:csb0="00040000" w:csb1="00000000"/>
    <w:embedRegular r:id="rId4" w:fontKey="{24522993-CE4E-4E6A-A2EE-2D7B1CCB012A}"/>
  </w:font>
  <w:font w:name="华文中宋">
    <w:panose1 w:val="02010600040101010101"/>
    <w:charset w:val="86"/>
    <w:family w:val="auto"/>
    <w:pitch w:val="default"/>
    <w:sig w:usb0="00000287" w:usb1="080F0000" w:usb2="00000000" w:usb3="00000000" w:csb0="0004009F" w:csb1="DFD70000"/>
    <w:embedRegular r:id="rId5" w:fontKey="{1859A3ED-A164-43BC-A3B1-7306C56CCBA3}"/>
  </w:font>
  <w:font w:name="仿宋">
    <w:panose1 w:val="02010609060101010101"/>
    <w:charset w:val="86"/>
    <w:family w:val="modern"/>
    <w:pitch w:val="default"/>
    <w:sig w:usb0="800002BF" w:usb1="38CF7CFA" w:usb2="00000016" w:usb3="00000000" w:csb0="00040001" w:csb1="00000000"/>
    <w:embedRegular r:id="rId6" w:fontKey="{FBFEFF7B-C7D9-4B76-BDE6-D8C10E9BCB4D}"/>
  </w:font>
  <w:font w:name="仿宋_GB2312">
    <w:panose1 w:val="02010609030101010101"/>
    <w:charset w:val="86"/>
    <w:family w:val="modern"/>
    <w:pitch w:val="default"/>
    <w:sig w:usb0="00000001" w:usb1="080E0000" w:usb2="00000000" w:usb3="00000000" w:csb0="00040000" w:csb1="00000000"/>
    <w:embedRegular r:id="rId7" w:fontKey="{C992B08C-7D18-4DF3-910C-E7AD57C90376}"/>
  </w:font>
  <w:font w:name="方正仿宋_GB2312">
    <w:panose1 w:val="02000000000000000000"/>
    <w:charset w:val="86"/>
    <w:family w:val="auto"/>
    <w:pitch w:val="default"/>
    <w:sig w:usb0="A00002BF" w:usb1="184F6CFA" w:usb2="00000012" w:usb3="00000000" w:csb0="00040001" w:csb1="00000000"/>
    <w:embedRegular r:id="rId8" w:fontKey="{33F18A00-D55E-4843-B4B3-11AC8BDB32C4}"/>
  </w:font>
  <w:font w:name="WPSEMBED1">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22"/>
  <w:drawingGridVerticalSpacing w:val="233"/>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BC2"/>
    <w:rsid w:val="00003DD9"/>
    <w:rsid w:val="000305E6"/>
    <w:rsid w:val="000C3809"/>
    <w:rsid w:val="000C68FB"/>
    <w:rsid w:val="000E643B"/>
    <w:rsid w:val="00123704"/>
    <w:rsid w:val="00133337"/>
    <w:rsid w:val="00133BCD"/>
    <w:rsid w:val="001421C1"/>
    <w:rsid w:val="001440A6"/>
    <w:rsid w:val="00144DF0"/>
    <w:rsid w:val="0019242E"/>
    <w:rsid w:val="001D0E22"/>
    <w:rsid w:val="002001CC"/>
    <w:rsid w:val="00223BBC"/>
    <w:rsid w:val="0024458D"/>
    <w:rsid w:val="002606C4"/>
    <w:rsid w:val="0026283A"/>
    <w:rsid w:val="002E0AD9"/>
    <w:rsid w:val="003371B0"/>
    <w:rsid w:val="0034035D"/>
    <w:rsid w:val="00346993"/>
    <w:rsid w:val="00365323"/>
    <w:rsid w:val="00367921"/>
    <w:rsid w:val="00395F8B"/>
    <w:rsid w:val="003A7D88"/>
    <w:rsid w:val="003B19AA"/>
    <w:rsid w:val="00403B28"/>
    <w:rsid w:val="00433816"/>
    <w:rsid w:val="00441C13"/>
    <w:rsid w:val="004C1ED1"/>
    <w:rsid w:val="004C3515"/>
    <w:rsid w:val="004F21DB"/>
    <w:rsid w:val="00517997"/>
    <w:rsid w:val="00534FCA"/>
    <w:rsid w:val="0054736E"/>
    <w:rsid w:val="0056711F"/>
    <w:rsid w:val="005937B0"/>
    <w:rsid w:val="005D1989"/>
    <w:rsid w:val="005D49D3"/>
    <w:rsid w:val="0064022F"/>
    <w:rsid w:val="0064261E"/>
    <w:rsid w:val="006933E8"/>
    <w:rsid w:val="006B0AE1"/>
    <w:rsid w:val="007050B1"/>
    <w:rsid w:val="007073E0"/>
    <w:rsid w:val="0074332E"/>
    <w:rsid w:val="00775798"/>
    <w:rsid w:val="0079161A"/>
    <w:rsid w:val="007C77C7"/>
    <w:rsid w:val="008935AB"/>
    <w:rsid w:val="008C03FE"/>
    <w:rsid w:val="00926BC2"/>
    <w:rsid w:val="00926E57"/>
    <w:rsid w:val="009367BD"/>
    <w:rsid w:val="009677C3"/>
    <w:rsid w:val="009A23C7"/>
    <w:rsid w:val="009D6149"/>
    <w:rsid w:val="009F3058"/>
    <w:rsid w:val="00A710FD"/>
    <w:rsid w:val="00AC1BA9"/>
    <w:rsid w:val="00AC5FC0"/>
    <w:rsid w:val="00AF5725"/>
    <w:rsid w:val="00B168B6"/>
    <w:rsid w:val="00B30C0D"/>
    <w:rsid w:val="00BA51D5"/>
    <w:rsid w:val="00BA609F"/>
    <w:rsid w:val="00BB3A4F"/>
    <w:rsid w:val="00BB6173"/>
    <w:rsid w:val="00BD5D7F"/>
    <w:rsid w:val="00BE5B19"/>
    <w:rsid w:val="00C05584"/>
    <w:rsid w:val="00C55055"/>
    <w:rsid w:val="00C738E3"/>
    <w:rsid w:val="00C86CF1"/>
    <w:rsid w:val="00D64361"/>
    <w:rsid w:val="00D67E4E"/>
    <w:rsid w:val="00D90026"/>
    <w:rsid w:val="00D978B7"/>
    <w:rsid w:val="00D97A32"/>
    <w:rsid w:val="00DA19CA"/>
    <w:rsid w:val="00DB7EB4"/>
    <w:rsid w:val="00E115C5"/>
    <w:rsid w:val="00E15627"/>
    <w:rsid w:val="00E2305B"/>
    <w:rsid w:val="00E807F5"/>
    <w:rsid w:val="00E82F0E"/>
    <w:rsid w:val="00EA235C"/>
    <w:rsid w:val="00EA4751"/>
    <w:rsid w:val="00EA5207"/>
    <w:rsid w:val="00EC1A77"/>
    <w:rsid w:val="00EE467F"/>
    <w:rsid w:val="00EF36AF"/>
    <w:rsid w:val="00F23A0A"/>
    <w:rsid w:val="00F52080"/>
    <w:rsid w:val="00F537D4"/>
    <w:rsid w:val="00F542F7"/>
    <w:rsid w:val="00F56869"/>
    <w:rsid w:val="00F82FC3"/>
    <w:rsid w:val="00F94E52"/>
    <w:rsid w:val="00FA0BC0"/>
    <w:rsid w:val="00FC2EEE"/>
    <w:rsid w:val="00FD48DE"/>
    <w:rsid w:val="00FD7C8E"/>
    <w:rsid w:val="00FF0F1A"/>
    <w:rsid w:val="00FF76E5"/>
    <w:rsid w:val="1EFD2393"/>
    <w:rsid w:val="219552A7"/>
    <w:rsid w:val="236553F8"/>
    <w:rsid w:val="246D27B7"/>
    <w:rsid w:val="2EA84D9A"/>
    <w:rsid w:val="3DDB6296"/>
    <w:rsid w:val="3FAC3C58"/>
    <w:rsid w:val="426A53CD"/>
    <w:rsid w:val="43CA57C8"/>
    <w:rsid w:val="4CA06952"/>
    <w:rsid w:val="553B2061"/>
    <w:rsid w:val="5CEB1EEF"/>
    <w:rsid w:val="5EEC1043"/>
    <w:rsid w:val="637C0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character" w:styleId="6">
    <w:name w:val="Hyperlink"/>
    <w:basedOn w:val="5"/>
    <w:semiHidden/>
    <w:unhideWhenUsed/>
    <w:qFormat/>
    <w:uiPriority w:val="99"/>
    <w:rPr>
      <w:color w:val="0000FF"/>
      <w:u w:val="single"/>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7149</Words>
  <Characters>7451</Characters>
  <Lines>64</Lines>
  <Paragraphs>76</Paragraphs>
  <TotalTime>123</TotalTime>
  <ScaleCrop>false</ScaleCrop>
  <LinksUpToDate>false</LinksUpToDate>
  <CharactersWithSpaces>7582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2024-01-22T07:11:00Z</dcterms:created>
  <dc:creator>听 林</dc:creator>
  <cp:lastModifiedBy>w灵动</cp:lastModifiedBy>
  <cp:lastPrinted>2026-01-13T06:00:33Z</cp:lastPrinted>
  <dcterms:modified xsi:type="dcterms:W3CDTF">2026-01-13T07:23:27Z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49ECB38751E44E1D9E6F71AB5CBA3D4C_13</vt:lpwstr>
  </property>
  <property fmtid="{D5CDD505-2E9C-101B-9397-08002B2CF9AE}" pid="4" name="KSOTemplateDocerSaveRecord">
    <vt:lpwstr>eyJoZGlkIjoiNGE1YmUyODNiZDdhOWM4ZTY5NTdiOGQ1YTI3MGE1NjUiLCJ1c2VySWQiOiI3OTk2OTMxNDkifQ==</vt:lpwstr>
  </property>
</Properties>
</file>