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6CE77B">
      <w:pPr>
        <w:autoSpaceDE/>
        <w:autoSpaceDN/>
        <w:spacing w:after="120" w:afterLines="50" w:line="600" w:lineRule="exact"/>
        <w:jc w:val="center"/>
        <w:rPr>
          <w:rFonts w:hint="eastAsia" w:ascii="华文中宋" w:hAnsi="华文中宋" w:eastAsia="华文中宋" w:cs="方正小标宋简体"/>
          <w:color w:val="000000"/>
          <w:kern w:val="2"/>
          <w:sz w:val="36"/>
          <w:szCs w:val="36"/>
        </w:rPr>
      </w:pPr>
      <w:r>
        <w:rPr>
          <w:rFonts w:hint="eastAsia" w:ascii="华文中宋" w:hAnsi="华文中宋" w:eastAsia="华文中宋" w:cs="方正小标宋简体"/>
          <w:color w:val="000000"/>
          <w:kern w:val="2"/>
          <w:sz w:val="36"/>
          <w:szCs w:val="36"/>
        </w:rPr>
        <w:t>新闻业务研究作品推荐表</w:t>
      </w:r>
    </w:p>
    <w:tbl>
      <w:tblPr>
        <w:tblStyle w:val="2"/>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5"/>
        <w:gridCol w:w="136"/>
        <w:gridCol w:w="289"/>
        <w:gridCol w:w="165"/>
        <w:gridCol w:w="119"/>
        <w:gridCol w:w="425"/>
        <w:gridCol w:w="283"/>
        <w:gridCol w:w="284"/>
        <w:gridCol w:w="992"/>
        <w:gridCol w:w="1134"/>
        <w:gridCol w:w="284"/>
        <w:gridCol w:w="567"/>
        <w:gridCol w:w="425"/>
        <w:gridCol w:w="142"/>
        <w:gridCol w:w="141"/>
        <w:gridCol w:w="134"/>
        <w:gridCol w:w="859"/>
        <w:gridCol w:w="141"/>
        <w:gridCol w:w="142"/>
        <w:gridCol w:w="280"/>
        <w:gridCol w:w="571"/>
        <w:gridCol w:w="137"/>
        <w:gridCol w:w="855"/>
      </w:tblGrid>
      <w:tr w14:paraId="2C15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trPr>
        <w:tc>
          <w:tcPr>
            <w:tcW w:w="1441" w:type="dxa"/>
            <w:gridSpan w:val="5"/>
            <w:vAlign w:val="center"/>
          </w:tcPr>
          <w:p w14:paraId="39560A24">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作品标题</w:t>
            </w:r>
          </w:p>
        </w:tc>
        <w:tc>
          <w:tcPr>
            <w:tcW w:w="6352" w:type="dxa"/>
            <w:gridSpan w:val="16"/>
            <w:vAlign w:val="center"/>
          </w:tcPr>
          <w:p w14:paraId="2E06334B">
            <w:pPr>
              <w:autoSpaceDE/>
              <w:autoSpaceDN/>
              <w:spacing w:line="300" w:lineRule="exact"/>
              <w:jc w:val="both"/>
              <w:rPr>
                <w:rFonts w:hint="eastAsia" w:ascii="华文中宋" w:hAnsi="华文中宋" w:eastAsia="华文中宋" w:cs="Times New Roman"/>
                <w:kern w:val="2"/>
                <w:sz w:val="21"/>
                <w:szCs w:val="21"/>
              </w:rPr>
            </w:pPr>
            <w:r>
              <w:rPr>
                <w:rFonts w:hint="eastAsia" w:ascii="仿宋_GB2312" w:eastAsia="仿宋_GB2312"/>
                <w:b/>
                <w:bCs/>
                <w:sz w:val="21"/>
                <w:szCs w:val="21"/>
              </w:rPr>
              <w:t>让“全民偶遇”成为“价值共鸣”</w:t>
            </w:r>
          </w:p>
        </w:tc>
        <w:tc>
          <w:tcPr>
            <w:tcW w:w="708" w:type="dxa"/>
            <w:gridSpan w:val="2"/>
            <w:vAlign w:val="center"/>
          </w:tcPr>
          <w:p w14:paraId="1BF64C28">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4"/>
              </w:rPr>
              <w:t>字数</w:t>
            </w:r>
          </w:p>
        </w:tc>
        <w:tc>
          <w:tcPr>
            <w:tcW w:w="855" w:type="dxa"/>
            <w:shd w:val="clear" w:color="auto" w:fill="auto"/>
            <w:vAlign w:val="center"/>
          </w:tcPr>
          <w:p w14:paraId="730F35DF">
            <w:pPr>
              <w:widowControl/>
              <w:autoSpaceDE/>
              <w:autoSpaceDN/>
              <w:jc w:val="center"/>
              <w:rPr>
                <w:rFonts w:hint="eastAsia" w:ascii="仿宋_GB2312" w:eastAsia="仿宋_GB2312" w:hAnsiTheme="minorHAnsi" w:cstheme="minorBidi"/>
                <w:kern w:val="2"/>
                <w:sz w:val="24"/>
                <w:szCs w:val="24"/>
                <w:lang w:val="en-US" w:eastAsia="zh-CN" w:bidi="ar-SA"/>
              </w:rPr>
            </w:pPr>
            <w:r>
              <w:rPr>
                <w:rFonts w:hint="eastAsia" w:ascii="仿宋_GB2312" w:eastAsia="仿宋_GB2312"/>
                <w:sz w:val="24"/>
                <w:szCs w:val="24"/>
                <w:lang w:val="en-US" w:eastAsia="zh-CN"/>
              </w:rPr>
              <w:t>4029</w:t>
            </w:r>
            <w:r>
              <w:rPr>
                <w:rFonts w:hint="eastAsia" w:ascii="仿宋_GB2312" w:eastAsia="仿宋_GB2312"/>
                <w:sz w:val="24"/>
                <w:szCs w:val="24"/>
              </w:rPr>
              <w:t>　</w:t>
            </w:r>
          </w:p>
        </w:tc>
      </w:tr>
      <w:tr w14:paraId="566B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51" w:type="dxa"/>
            <w:gridSpan w:val="2"/>
            <w:vAlign w:val="center"/>
          </w:tcPr>
          <w:p w14:paraId="38BECD31">
            <w:pPr>
              <w:autoSpaceDE/>
              <w:autoSpaceDN/>
              <w:spacing w:line="300" w:lineRule="exact"/>
              <w:jc w:val="center"/>
              <w:rPr>
                <w:rFonts w:hint="eastAsia" w:ascii="华文中宋" w:hAnsi="华文中宋" w:eastAsia="华文中宋" w:cs="Times New Roman"/>
                <w:color w:val="000000"/>
                <w:spacing w:val="-12"/>
                <w:kern w:val="2"/>
                <w:sz w:val="28"/>
              </w:rPr>
            </w:pPr>
            <w:r>
              <w:rPr>
                <w:rFonts w:hint="eastAsia" w:ascii="华文中宋" w:hAnsi="华文中宋" w:eastAsia="华文中宋" w:cs="Times New Roman"/>
                <w:color w:val="000000"/>
                <w:spacing w:val="-12"/>
                <w:kern w:val="2"/>
                <w:sz w:val="28"/>
              </w:rPr>
              <w:t>作者</w:t>
            </w:r>
          </w:p>
        </w:tc>
        <w:tc>
          <w:tcPr>
            <w:tcW w:w="4678" w:type="dxa"/>
            <w:gridSpan w:val="11"/>
            <w:vAlign w:val="center"/>
          </w:tcPr>
          <w:p w14:paraId="662294A1">
            <w:pPr>
              <w:autoSpaceDE/>
              <w:autoSpaceDN/>
              <w:spacing w:line="300" w:lineRule="exact"/>
              <w:jc w:val="both"/>
              <w:rPr>
                <w:rFonts w:hint="eastAsia" w:ascii="仿宋_GB2312" w:hAnsi="华文中宋" w:eastAsia="仿宋_GB2312" w:cs="Times New Roman"/>
                <w:color w:val="000000"/>
                <w:kern w:val="2"/>
                <w:sz w:val="21"/>
                <w:szCs w:val="21"/>
              </w:rPr>
            </w:pPr>
            <w:r>
              <w:rPr>
                <w:rFonts w:hint="eastAsia" w:ascii="仿宋_GB2312" w:eastAsia="仿宋_GB2312"/>
                <w:sz w:val="21"/>
                <w:szCs w:val="21"/>
                <w:lang w:eastAsia="zh-CN"/>
              </w:rPr>
              <w:t>陈华英、孙志红、蔡霞</w:t>
            </w:r>
          </w:p>
        </w:tc>
        <w:tc>
          <w:tcPr>
            <w:tcW w:w="842" w:type="dxa"/>
            <w:gridSpan w:val="4"/>
            <w:vAlign w:val="center"/>
          </w:tcPr>
          <w:p w14:paraId="40BB7F25">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编辑</w:t>
            </w:r>
          </w:p>
        </w:tc>
        <w:tc>
          <w:tcPr>
            <w:tcW w:w="2985" w:type="dxa"/>
            <w:gridSpan w:val="7"/>
            <w:vAlign w:val="center"/>
          </w:tcPr>
          <w:p w14:paraId="0E0EF6A6">
            <w:pPr>
              <w:autoSpaceDE/>
              <w:autoSpaceDN/>
              <w:spacing w:line="300" w:lineRule="exact"/>
              <w:jc w:val="both"/>
              <w:rPr>
                <w:rFonts w:hint="eastAsia" w:ascii="仿宋" w:hAnsi="仿宋" w:eastAsia="仿宋" w:cs="Times New Roman"/>
                <w:color w:val="000000"/>
                <w:w w:val="95"/>
                <w:kern w:val="2"/>
                <w:sz w:val="21"/>
                <w:szCs w:val="21"/>
              </w:rPr>
            </w:pPr>
            <w:r>
              <w:rPr>
                <w:rFonts w:hint="eastAsia" w:ascii="仿宋" w:hAnsi="仿宋" w:eastAsia="仿宋" w:cs="Times New Roman"/>
                <w:color w:val="000000"/>
                <w:w w:val="95"/>
                <w:kern w:val="2"/>
                <w:sz w:val="21"/>
                <w:szCs w:val="21"/>
              </w:rPr>
              <w:t>吴汉、姜迪飞</w:t>
            </w:r>
          </w:p>
        </w:tc>
      </w:tr>
      <w:tr w14:paraId="1E15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276" w:type="dxa"/>
            <w:gridSpan w:val="4"/>
            <w:vAlign w:val="center"/>
          </w:tcPr>
          <w:p w14:paraId="4023CE6F">
            <w:pPr>
              <w:autoSpaceDE/>
              <w:autoSpaceDN/>
              <w:spacing w:line="300" w:lineRule="exact"/>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刊登刊物名称</w:t>
            </w:r>
          </w:p>
        </w:tc>
        <w:tc>
          <w:tcPr>
            <w:tcW w:w="3402" w:type="dxa"/>
            <w:gridSpan w:val="7"/>
            <w:vAlign w:val="center"/>
          </w:tcPr>
          <w:p w14:paraId="628814E9">
            <w:pPr>
              <w:autoSpaceDE/>
              <w:autoSpaceDN/>
              <w:spacing w:line="300" w:lineRule="exact"/>
              <w:ind w:firstLine="420"/>
              <w:jc w:val="both"/>
              <w:rPr>
                <w:rFonts w:hint="eastAsia" w:ascii="仿宋" w:hAnsi="仿宋" w:eastAsia="仿宋" w:cs="Times New Roman"/>
                <w:color w:val="000000"/>
                <w:kern w:val="2"/>
                <w:sz w:val="21"/>
                <w:szCs w:val="21"/>
              </w:rPr>
            </w:pPr>
            <w:r>
              <w:rPr>
                <w:rFonts w:hint="eastAsia" w:ascii="仿宋_GB2312" w:eastAsia="仿宋_GB2312"/>
                <w:sz w:val="21"/>
                <w:szCs w:val="21"/>
                <w:lang w:eastAsia="zh-CN"/>
              </w:rPr>
              <w:t>中国地市报人</w:t>
            </w:r>
            <w:r>
              <w:rPr>
                <w:rFonts w:hint="eastAsia" w:ascii="仿宋_GB2312" w:eastAsia="仿宋_GB2312"/>
                <w:sz w:val="21"/>
                <w:szCs w:val="21"/>
              </w:rPr>
              <w:t>　</w:t>
            </w:r>
          </w:p>
        </w:tc>
        <w:tc>
          <w:tcPr>
            <w:tcW w:w="1418" w:type="dxa"/>
            <w:gridSpan w:val="4"/>
            <w:vAlign w:val="center"/>
          </w:tcPr>
          <w:p w14:paraId="210F31E1">
            <w:pPr>
              <w:autoSpaceDE/>
              <w:autoSpaceDN/>
              <w:spacing w:line="300" w:lineRule="exact"/>
              <w:jc w:val="both"/>
              <w:rPr>
                <w:rFonts w:hint="eastAsia" w:ascii="华文中宋" w:hAnsi="华文中宋" w:eastAsia="华文中宋" w:cs="Times New Roman"/>
                <w:color w:val="000000"/>
                <w:kern w:val="2"/>
                <w:sz w:val="28"/>
                <w:szCs w:val="28"/>
              </w:rPr>
            </w:pPr>
            <w:r>
              <w:rPr>
                <w:rFonts w:hint="eastAsia" w:ascii="华文中宋" w:hAnsi="华文中宋" w:eastAsia="华文中宋" w:cs="Times New Roman"/>
                <w:color w:val="000000"/>
                <w:kern w:val="2"/>
                <w:sz w:val="28"/>
                <w:szCs w:val="28"/>
              </w:rPr>
              <w:t>刊物国内统一刊号</w:t>
            </w:r>
          </w:p>
        </w:tc>
        <w:tc>
          <w:tcPr>
            <w:tcW w:w="3260" w:type="dxa"/>
            <w:gridSpan w:val="9"/>
            <w:vAlign w:val="center"/>
          </w:tcPr>
          <w:p w14:paraId="7104B364">
            <w:pPr>
              <w:autoSpaceDE/>
              <w:autoSpaceDN/>
              <w:spacing w:line="300" w:lineRule="exact"/>
              <w:jc w:val="both"/>
              <w:rPr>
                <w:rFonts w:hint="eastAsia" w:ascii="仿宋_GB2312" w:hAnsi="仿宋" w:eastAsia="仿宋_GB2312" w:cs="Times New Roman"/>
                <w:color w:val="000000"/>
                <w:kern w:val="2"/>
                <w:sz w:val="18"/>
                <w:szCs w:val="18"/>
                <w:highlight w:val="green"/>
              </w:rPr>
            </w:pPr>
            <w:r>
              <w:rPr>
                <w:rFonts w:hint="eastAsia" w:ascii="仿宋" w:hAnsi="仿宋" w:eastAsia="仿宋" w:cs="Times New Roman"/>
                <w:color w:val="000000"/>
                <w:w w:val="95"/>
                <w:kern w:val="2"/>
                <w:sz w:val="21"/>
                <w:szCs w:val="21"/>
              </w:rPr>
              <w:t>CN 42-1368/G2</w:t>
            </w:r>
          </w:p>
        </w:tc>
      </w:tr>
      <w:tr w14:paraId="1EB8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2268" w:type="dxa"/>
            <w:gridSpan w:val="8"/>
            <w:vAlign w:val="center"/>
          </w:tcPr>
          <w:p w14:paraId="5D310632">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刊登栏目或版面</w:t>
            </w:r>
          </w:p>
        </w:tc>
        <w:tc>
          <w:tcPr>
            <w:tcW w:w="3828" w:type="dxa"/>
            <w:gridSpan w:val="7"/>
            <w:vAlign w:val="center"/>
          </w:tcPr>
          <w:p w14:paraId="0D986A93">
            <w:pPr>
              <w:autoSpaceDE/>
              <w:autoSpaceDN/>
              <w:spacing w:line="300" w:lineRule="exact"/>
              <w:jc w:val="both"/>
              <w:rPr>
                <w:rFonts w:hint="eastAsia" w:ascii="仿宋" w:hAnsi="仿宋" w:eastAsia="仿宋" w:cs="Times New Roman"/>
                <w:color w:val="000000"/>
                <w:kern w:val="2"/>
                <w:sz w:val="21"/>
                <w:szCs w:val="21"/>
                <w:lang w:eastAsia="zh-CN"/>
              </w:rPr>
            </w:pPr>
            <w:r>
              <w:rPr>
                <w:rFonts w:hint="eastAsia" w:ascii="仿宋" w:hAnsi="仿宋" w:eastAsia="仿宋" w:cs="Times New Roman"/>
                <w:color w:val="000000"/>
                <w:kern w:val="2"/>
                <w:sz w:val="21"/>
                <w:szCs w:val="21"/>
              </w:rPr>
              <w:t>2025年第11期</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以精品生产筑牢舆论主阵地</w:t>
            </w:r>
            <w:r>
              <w:rPr>
                <w:rFonts w:hint="eastAsia" w:ascii="仿宋" w:hAnsi="仿宋" w:eastAsia="仿宋" w:cs="Times New Roman"/>
                <w:color w:val="000000"/>
                <w:kern w:val="2"/>
                <w:sz w:val="21"/>
                <w:szCs w:val="21"/>
                <w:lang w:eastAsia="zh-CN"/>
              </w:rPr>
              <w:t>”</w:t>
            </w:r>
          </w:p>
        </w:tc>
        <w:tc>
          <w:tcPr>
            <w:tcW w:w="1417" w:type="dxa"/>
            <w:gridSpan w:val="5"/>
            <w:vAlign w:val="center"/>
          </w:tcPr>
          <w:p w14:paraId="7F8368F7">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刊播日期</w:t>
            </w:r>
          </w:p>
        </w:tc>
        <w:tc>
          <w:tcPr>
            <w:tcW w:w="1843" w:type="dxa"/>
            <w:gridSpan w:val="4"/>
            <w:vAlign w:val="center"/>
          </w:tcPr>
          <w:p w14:paraId="7BF37F34">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2025年</w:t>
            </w:r>
            <w:r>
              <w:rPr>
                <w:rFonts w:hint="eastAsia" w:ascii="仿宋" w:hAnsi="仿宋" w:eastAsia="仿宋" w:cs="Times New Roman"/>
                <w:color w:val="000000"/>
                <w:kern w:val="2"/>
                <w:sz w:val="21"/>
                <w:szCs w:val="21"/>
                <w:lang w:val="en-US" w:eastAsia="zh-CN"/>
              </w:rPr>
              <w:t>11</w:t>
            </w:r>
            <w:r>
              <w:rPr>
                <w:rFonts w:hint="eastAsia" w:ascii="仿宋" w:hAnsi="仿宋" w:eastAsia="仿宋" w:cs="Times New Roman"/>
                <w:color w:val="000000"/>
                <w:kern w:val="2"/>
                <w:sz w:val="21"/>
                <w:szCs w:val="21"/>
              </w:rPr>
              <w:t>月</w:t>
            </w:r>
            <w:r>
              <w:rPr>
                <w:rFonts w:hint="eastAsia" w:ascii="仿宋" w:hAnsi="仿宋" w:eastAsia="仿宋" w:cs="Times New Roman"/>
                <w:color w:val="000000"/>
                <w:kern w:val="2"/>
                <w:sz w:val="21"/>
                <w:szCs w:val="21"/>
                <w:lang w:val="en-US" w:eastAsia="zh-CN"/>
              </w:rPr>
              <w:t>18</w:t>
            </w:r>
            <w:r>
              <w:rPr>
                <w:rFonts w:hint="eastAsia" w:ascii="仿宋" w:hAnsi="仿宋" w:eastAsia="仿宋" w:cs="Times New Roman"/>
                <w:color w:val="000000"/>
                <w:kern w:val="2"/>
                <w:sz w:val="21"/>
                <w:szCs w:val="21"/>
              </w:rPr>
              <w:t>日</w:t>
            </w:r>
          </w:p>
        </w:tc>
      </w:tr>
      <w:tr w14:paraId="10B1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987" w:type="dxa"/>
            <w:gridSpan w:val="3"/>
            <w:vAlign w:val="center"/>
          </w:tcPr>
          <w:p w14:paraId="6AB16F5A">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 xml:space="preserve">  ︵</w:t>
            </w:r>
          </w:p>
          <w:p w14:paraId="654C048B">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作采</w:t>
            </w:r>
          </w:p>
          <w:p w14:paraId="047124E9">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品编</w:t>
            </w:r>
          </w:p>
          <w:p w14:paraId="7ADA44B0">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简过</w:t>
            </w:r>
          </w:p>
          <w:p w14:paraId="146CA4A7">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介程</w:t>
            </w:r>
          </w:p>
          <w:p w14:paraId="1641547A">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 xml:space="preserve">  ︶</w:t>
            </w:r>
          </w:p>
        </w:tc>
        <w:tc>
          <w:tcPr>
            <w:tcW w:w="8369" w:type="dxa"/>
            <w:gridSpan w:val="21"/>
            <w:vAlign w:val="center"/>
          </w:tcPr>
          <w:p w14:paraId="5E54E2E9">
            <w:pPr>
              <w:autoSpaceDE/>
              <w:autoSpaceDN/>
              <w:spacing w:line="300" w:lineRule="exact"/>
              <w:ind w:firstLine="398" w:firstLineChars="200"/>
              <w:jc w:val="both"/>
              <w:rPr>
                <w:rFonts w:hint="eastAsia" w:ascii="仿宋" w:hAnsi="仿宋" w:eastAsia="仿宋" w:cs="Times New Roman"/>
                <w:color w:val="000000"/>
                <w:w w:val="95"/>
                <w:kern w:val="2"/>
                <w:sz w:val="21"/>
                <w:szCs w:val="21"/>
                <w:lang w:eastAsia="zh-CN"/>
              </w:rPr>
            </w:pPr>
            <w:r>
              <w:rPr>
                <w:rFonts w:hint="eastAsia" w:ascii="仿宋" w:hAnsi="仿宋" w:eastAsia="仿宋" w:cs="Times New Roman"/>
                <w:color w:val="000000"/>
                <w:w w:val="95"/>
                <w:kern w:val="2"/>
                <w:sz w:val="21"/>
                <w:szCs w:val="21"/>
              </w:rPr>
              <w:t>2025年11月，第35届中国新闻奖揭晓，上饶市融媒体中心创作的典型报道《整个评论区都认识的上饶交警》获评三等奖</w:t>
            </w:r>
            <w:r>
              <w:rPr>
                <w:rFonts w:hint="eastAsia" w:ascii="仿宋" w:hAnsi="仿宋" w:eastAsia="仿宋" w:cs="Times New Roman"/>
                <w:color w:val="000000"/>
                <w:w w:val="95"/>
                <w:kern w:val="2"/>
                <w:sz w:val="21"/>
                <w:szCs w:val="21"/>
                <w:lang w:eastAsia="zh-CN"/>
              </w:rPr>
              <w:t>。</w:t>
            </w:r>
          </w:p>
          <w:p w14:paraId="33C5A85C">
            <w:pPr>
              <w:autoSpaceDE/>
              <w:autoSpaceDN/>
              <w:spacing w:line="300" w:lineRule="exact"/>
              <w:ind w:firstLine="398" w:firstLineChars="200"/>
              <w:jc w:val="both"/>
              <w:rPr>
                <w:rFonts w:hint="eastAsia" w:ascii="仿宋" w:hAnsi="仿宋" w:eastAsia="仿宋" w:cs="Times New Roman"/>
                <w:color w:val="000000"/>
                <w:w w:val="95"/>
                <w:kern w:val="2"/>
                <w:sz w:val="21"/>
                <w:szCs w:val="21"/>
                <w:lang w:eastAsia="zh-CN"/>
              </w:rPr>
            </w:pPr>
            <w:r>
              <w:rPr>
                <w:rFonts w:hint="eastAsia" w:ascii="仿宋" w:hAnsi="仿宋" w:eastAsia="仿宋" w:cs="Times New Roman"/>
                <w:color w:val="000000"/>
                <w:w w:val="95"/>
                <w:kern w:val="2"/>
                <w:sz w:val="21"/>
                <w:szCs w:val="21"/>
                <w:lang w:eastAsia="zh-CN"/>
              </w:rPr>
              <w:t>本文是上饶市融媒体中心报道团队基于该典型报道所撰写的业务研究论文。文章系统梳理了该融合报道从选题发现（源自网友UGC内容）、采访制作（深入挖掘人物故事与精神传承）到融合传播（跨平台差异化推送、设置话题引导互动）的全流程创新实践。论文重点从选题挖掘、叙事传播、经验启示三个维度，总结了地方主流媒体如何通过“以人民为中心”的视角、小切口叙事与互动化传播，实现正能量报道的“破圈”传播与社会价值升华，呈现了全媒体时代典型报道的新理念与新形态。</w:t>
            </w:r>
          </w:p>
        </w:tc>
      </w:tr>
      <w:tr w14:paraId="1B74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exact"/>
        </w:trPr>
        <w:tc>
          <w:tcPr>
            <w:tcW w:w="987" w:type="dxa"/>
            <w:gridSpan w:val="3"/>
            <w:vAlign w:val="center"/>
          </w:tcPr>
          <w:p w14:paraId="78C4C487">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社</w:t>
            </w:r>
          </w:p>
          <w:p w14:paraId="52B80218">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会</w:t>
            </w:r>
          </w:p>
          <w:p w14:paraId="6951DE4C">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效</w:t>
            </w:r>
          </w:p>
          <w:p w14:paraId="18E9ACA3">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果</w:t>
            </w:r>
          </w:p>
        </w:tc>
        <w:tc>
          <w:tcPr>
            <w:tcW w:w="8369" w:type="dxa"/>
            <w:gridSpan w:val="21"/>
            <w:vAlign w:val="center"/>
          </w:tcPr>
          <w:p w14:paraId="607332D9">
            <w:pPr>
              <w:autoSpaceDE/>
              <w:autoSpaceDN/>
              <w:spacing w:line="300" w:lineRule="exact"/>
              <w:ind w:firstLine="420" w:firstLineChars="200"/>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典型报道《整个评论区都认识的上饶警察》刊发后，话题全网总阅读量超12.1亿，点赞超4000万，评论超过1万。作为对成功融合实践的系统总结，该论文将实践升华为理论，“从群众中发现线索”“用群众视角叙事”“靠群众参与传播”等核心经验，为地方主流媒体融合转型提供了可复制的方法论参考，对业界探索融合创新路径产生了积极的示范与启发作用。</w:t>
            </w:r>
          </w:p>
        </w:tc>
      </w:tr>
      <w:tr w14:paraId="1DB1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trPr>
        <w:tc>
          <w:tcPr>
            <w:tcW w:w="706" w:type="dxa"/>
            <w:vMerge w:val="restart"/>
            <w:tcBorders>
              <w:top w:val="single" w:color="auto" w:sz="4" w:space="0"/>
              <w:left w:val="single" w:color="auto" w:sz="4" w:space="0"/>
              <w:bottom w:val="single" w:color="auto" w:sz="4" w:space="0"/>
              <w:right w:val="single" w:color="auto" w:sz="4" w:space="0"/>
            </w:tcBorders>
            <w:vAlign w:val="center"/>
          </w:tcPr>
          <w:p w14:paraId="40633F68">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传</w:t>
            </w:r>
          </w:p>
          <w:p w14:paraId="5E02259C">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播</w:t>
            </w:r>
          </w:p>
          <w:p w14:paraId="745338B6">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数</w:t>
            </w:r>
          </w:p>
          <w:p w14:paraId="7988E6A1">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据</w:t>
            </w:r>
          </w:p>
        </w:tc>
        <w:tc>
          <w:tcPr>
            <w:tcW w:w="854" w:type="dxa"/>
            <w:gridSpan w:val="5"/>
            <w:vMerge w:val="restart"/>
            <w:tcBorders>
              <w:top w:val="single" w:color="auto" w:sz="4" w:space="0"/>
              <w:left w:val="single" w:color="auto" w:sz="4" w:space="0"/>
              <w:bottom w:val="single" w:color="auto" w:sz="4" w:space="0"/>
              <w:right w:val="single" w:color="auto" w:sz="4" w:space="0"/>
            </w:tcBorders>
            <w:vAlign w:val="center"/>
          </w:tcPr>
          <w:p w14:paraId="223E01DF">
            <w:pPr>
              <w:autoSpaceDE/>
              <w:autoSpaceDN/>
              <w:spacing w:line="300" w:lineRule="exact"/>
              <w:jc w:val="center"/>
              <w:rPr>
                <w:rFonts w:hint="eastAsia" w:ascii="仿宋" w:hAnsi="仿宋" w:eastAsia="仿宋" w:cs="仿宋"/>
                <w:color w:val="000000"/>
                <w:spacing w:val="-10"/>
                <w:kern w:val="2"/>
                <w:sz w:val="21"/>
                <w:szCs w:val="21"/>
              </w:rPr>
            </w:pPr>
            <w:r>
              <w:rPr>
                <w:rFonts w:hint="eastAsia" w:ascii="仿宋" w:hAnsi="仿宋" w:eastAsia="仿宋" w:cs="仿宋"/>
                <w:color w:val="000000"/>
                <w:spacing w:val="-10"/>
                <w:kern w:val="2"/>
                <w:sz w:val="21"/>
                <w:szCs w:val="21"/>
              </w:rPr>
              <w:t>新媒体传播</w:t>
            </w:r>
            <w:r>
              <w:rPr>
                <w:rFonts w:hint="eastAsia" w:ascii="仿宋" w:hAnsi="仿宋" w:eastAsia="仿宋" w:cs="仿宋"/>
                <w:color w:val="000000"/>
                <w:kern w:val="2"/>
                <w:sz w:val="21"/>
                <w:szCs w:val="21"/>
              </w:rPr>
              <w:t>平台网址</w:t>
            </w:r>
          </w:p>
        </w:tc>
        <w:tc>
          <w:tcPr>
            <w:tcW w:w="425" w:type="dxa"/>
            <w:tcBorders>
              <w:top w:val="single" w:color="auto" w:sz="4" w:space="0"/>
              <w:left w:val="single" w:color="auto" w:sz="4" w:space="0"/>
              <w:bottom w:val="single" w:color="auto" w:sz="4" w:space="0"/>
              <w:right w:val="single" w:color="auto" w:sz="4" w:space="0"/>
            </w:tcBorders>
            <w:vAlign w:val="center"/>
          </w:tcPr>
          <w:p w14:paraId="3C1B8AD1">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1</w:t>
            </w:r>
          </w:p>
        </w:tc>
        <w:tc>
          <w:tcPr>
            <w:tcW w:w="7371" w:type="dxa"/>
            <w:gridSpan w:val="17"/>
            <w:tcBorders>
              <w:top w:val="single" w:color="auto" w:sz="4" w:space="0"/>
              <w:left w:val="single" w:color="auto" w:sz="4" w:space="0"/>
              <w:bottom w:val="single" w:color="auto" w:sz="4" w:space="0"/>
              <w:right w:val="single" w:color="auto" w:sz="4" w:space="0"/>
            </w:tcBorders>
            <w:vAlign w:val="center"/>
          </w:tcPr>
          <w:p w14:paraId="1EC96794">
            <w:pPr>
              <w:autoSpaceDE/>
              <w:autoSpaceDN/>
              <w:spacing w:line="300" w:lineRule="exact"/>
              <w:jc w:val="both"/>
              <w:rPr>
                <w:rFonts w:hint="eastAsia" w:ascii="仿宋" w:hAnsi="仿宋" w:eastAsia="仿宋" w:cs="Times New Roman"/>
                <w:color w:val="000000"/>
                <w:kern w:val="2"/>
                <w:sz w:val="21"/>
                <w:szCs w:val="21"/>
              </w:rPr>
            </w:pPr>
          </w:p>
        </w:tc>
      </w:tr>
      <w:tr w14:paraId="159D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2FEB60CF">
            <w:pPr>
              <w:widowControl/>
              <w:autoSpaceDE/>
              <w:autoSpaceDN/>
              <w:spacing w:line="300" w:lineRule="exact"/>
              <w:rPr>
                <w:rFonts w:hint="eastAsia" w:ascii="华文中宋" w:hAnsi="华文中宋" w:eastAsia="华文中宋" w:cs="Times New Roman"/>
                <w:color w:val="000000"/>
                <w:kern w:val="2"/>
                <w:sz w:val="28"/>
              </w:rPr>
            </w:pPr>
          </w:p>
        </w:tc>
        <w:tc>
          <w:tcPr>
            <w:tcW w:w="854" w:type="dxa"/>
            <w:gridSpan w:val="5"/>
            <w:vMerge w:val="continue"/>
            <w:tcBorders>
              <w:top w:val="single" w:color="auto" w:sz="4" w:space="0"/>
              <w:left w:val="single" w:color="auto" w:sz="4" w:space="0"/>
              <w:bottom w:val="single" w:color="auto" w:sz="4" w:space="0"/>
              <w:right w:val="single" w:color="auto" w:sz="4" w:space="0"/>
            </w:tcBorders>
            <w:vAlign w:val="center"/>
          </w:tcPr>
          <w:p w14:paraId="2C5C1968">
            <w:pPr>
              <w:widowControl/>
              <w:autoSpaceDE/>
              <w:autoSpaceDN/>
              <w:spacing w:line="300" w:lineRule="exact"/>
              <w:rPr>
                <w:rFonts w:hint="eastAsia" w:ascii="仿宋" w:hAnsi="仿宋" w:eastAsia="仿宋" w:cs="仿宋"/>
                <w:color w:val="000000"/>
                <w:kern w:val="2"/>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245BF8A1">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2</w:t>
            </w:r>
          </w:p>
        </w:tc>
        <w:tc>
          <w:tcPr>
            <w:tcW w:w="7371" w:type="dxa"/>
            <w:gridSpan w:val="17"/>
            <w:tcBorders>
              <w:top w:val="single" w:color="auto" w:sz="4" w:space="0"/>
              <w:left w:val="single" w:color="auto" w:sz="4" w:space="0"/>
              <w:bottom w:val="single" w:color="auto" w:sz="4" w:space="0"/>
              <w:right w:val="single" w:color="auto" w:sz="4" w:space="0"/>
            </w:tcBorders>
            <w:vAlign w:val="center"/>
          </w:tcPr>
          <w:p w14:paraId="4E556A21">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p>
        </w:tc>
      </w:tr>
      <w:tr w14:paraId="6CBF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5F118FA8">
            <w:pPr>
              <w:widowControl/>
              <w:autoSpaceDE/>
              <w:autoSpaceDN/>
              <w:spacing w:line="300" w:lineRule="exact"/>
              <w:rPr>
                <w:rFonts w:hint="eastAsia" w:ascii="华文中宋" w:hAnsi="华文中宋" w:eastAsia="华文中宋" w:cs="Times New Roman"/>
                <w:color w:val="000000"/>
                <w:kern w:val="2"/>
                <w:sz w:val="28"/>
              </w:rPr>
            </w:pPr>
          </w:p>
        </w:tc>
        <w:tc>
          <w:tcPr>
            <w:tcW w:w="854" w:type="dxa"/>
            <w:gridSpan w:val="5"/>
            <w:vMerge w:val="continue"/>
            <w:tcBorders>
              <w:top w:val="single" w:color="auto" w:sz="4" w:space="0"/>
              <w:left w:val="single" w:color="auto" w:sz="4" w:space="0"/>
              <w:bottom w:val="single" w:color="auto" w:sz="4" w:space="0"/>
              <w:right w:val="single" w:color="auto" w:sz="4" w:space="0"/>
            </w:tcBorders>
            <w:vAlign w:val="center"/>
          </w:tcPr>
          <w:p w14:paraId="5E7E686F">
            <w:pPr>
              <w:widowControl/>
              <w:autoSpaceDE/>
              <w:autoSpaceDN/>
              <w:spacing w:line="300" w:lineRule="exact"/>
              <w:rPr>
                <w:rFonts w:hint="eastAsia" w:ascii="仿宋" w:hAnsi="仿宋" w:eastAsia="仿宋" w:cs="仿宋"/>
                <w:color w:val="000000"/>
                <w:kern w:val="2"/>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267C62A5">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3</w:t>
            </w:r>
          </w:p>
        </w:tc>
        <w:tc>
          <w:tcPr>
            <w:tcW w:w="7371" w:type="dxa"/>
            <w:gridSpan w:val="17"/>
            <w:tcBorders>
              <w:top w:val="single" w:color="auto" w:sz="4" w:space="0"/>
              <w:left w:val="single" w:color="auto" w:sz="4" w:space="0"/>
              <w:bottom w:val="single" w:color="auto" w:sz="4" w:space="0"/>
              <w:right w:val="single" w:color="auto" w:sz="4" w:space="0"/>
            </w:tcBorders>
            <w:vAlign w:val="center"/>
          </w:tcPr>
          <w:p w14:paraId="645F505B">
            <w:pPr>
              <w:autoSpaceDE/>
              <w:autoSpaceDN/>
              <w:spacing w:line="300" w:lineRule="exact"/>
              <w:jc w:val="both"/>
              <w:rPr>
                <w:rFonts w:hint="eastAsia" w:ascii="仿宋" w:hAnsi="仿宋" w:eastAsia="仿宋" w:cs="Times New Roman"/>
                <w:color w:val="000000"/>
                <w:kern w:val="2"/>
                <w:sz w:val="21"/>
                <w:szCs w:val="21"/>
              </w:rPr>
            </w:pPr>
          </w:p>
        </w:tc>
      </w:tr>
      <w:tr w14:paraId="5D1B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41EDD72F">
            <w:pPr>
              <w:widowControl/>
              <w:autoSpaceDE/>
              <w:autoSpaceDN/>
              <w:spacing w:line="300" w:lineRule="exact"/>
              <w:rPr>
                <w:rFonts w:hint="eastAsia" w:ascii="华文中宋" w:hAnsi="华文中宋" w:eastAsia="华文中宋" w:cs="Times New Roman"/>
                <w:color w:val="000000"/>
                <w:kern w:val="2"/>
                <w:sz w:val="28"/>
              </w:rPr>
            </w:pPr>
          </w:p>
        </w:tc>
        <w:tc>
          <w:tcPr>
            <w:tcW w:w="2838" w:type="dxa"/>
            <w:gridSpan w:val="9"/>
            <w:tcBorders>
              <w:top w:val="single" w:color="auto" w:sz="4" w:space="0"/>
              <w:left w:val="single" w:color="auto" w:sz="4" w:space="0"/>
              <w:bottom w:val="single" w:color="auto" w:sz="4" w:space="0"/>
              <w:right w:val="single" w:color="auto" w:sz="4" w:space="0"/>
            </w:tcBorders>
            <w:vAlign w:val="center"/>
          </w:tcPr>
          <w:p w14:paraId="2925879C">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阅读量（浏览量、点击量）</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0213C758">
            <w:pPr>
              <w:autoSpaceDE/>
              <w:autoSpaceDN/>
              <w:spacing w:line="300" w:lineRule="exact"/>
              <w:jc w:val="both"/>
              <w:rPr>
                <w:rFonts w:hint="eastAsia" w:ascii="仿宋" w:hAnsi="仿宋" w:eastAsia="仿宋" w:cs="Times New Roman"/>
                <w:color w:val="000000"/>
                <w:kern w:val="2"/>
                <w:sz w:val="21"/>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382B760">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转载量</w:t>
            </w: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7CCA5949">
            <w:pPr>
              <w:autoSpaceDE/>
              <w:autoSpaceDN/>
              <w:spacing w:line="300" w:lineRule="exact"/>
              <w:jc w:val="both"/>
              <w:rPr>
                <w:rFonts w:hint="eastAsia" w:ascii="仿宋" w:hAnsi="仿宋" w:eastAsia="仿宋" w:cs="Times New Roman"/>
                <w:color w:val="000000"/>
                <w:kern w:val="2"/>
                <w:sz w:val="21"/>
                <w:szCs w:val="21"/>
              </w:rPr>
            </w:pPr>
          </w:p>
        </w:tc>
        <w:tc>
          <w:tcPr>
            <w:tcW w:w="993" w:type="dxa"/>
            <w:gridSpan w:val="3"/>
            <w:tcBorders>
              <w:top w:val="single" w:color="auto" w:sz="4" w:space="0"/>
              <w:left w:val="single" w:color="auto" w:sz="4" w:space="0"/>
              <w:bottom w:val="single" w:color="auto" w:sz="4" w:space="0"/>
              <w:right w:val="single" w:color="auto" w:sz="4" w:space="0"/>
            </w:tcBorders>
            <w:vAlign w:val="center"/>
          </w:tcPr>
          <w:p w14:paraId="4B067C0A">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互动量</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01BB980F">
            <w:pPr>
              <w:autoSpaceDE/>
              <w:autoSpaceDN/>
              <w:spacing w:line="300" w:lineRule="exact"/>
              <w:jc w:val="both"/>
              <w:rPr>
                <w:rFonts w:hint="eastAsia" w:ascii="仿宋" w:hAnsi="仿宋" w:eastAsia="仿宋" w:cs="Times New Roman"/>
                <w:color w:val="000000"/>
                <w:kern w:val="2"/>
                <w:sz w:val="21"/>
                <w:szCs w:val="21"/>
              </w:rPr>
            </w:pPr>
          </w:p>
        </w:tc>
      </w:tr>
      <w:tr w14:paraId="48A4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exact"/>
        </w:trPr>
        <w:tc>
          <w:tcPr>
            <w:tcW w:w="1441" w:type="dxa"/>
            <w:gridSpan w:val="5"/>
            <w:tcBorders>
              <w:bottom w:val="single" w:color="auto" w:sz="4" w:space="0"/>
            </w:tcBorders>
            <w:vAlign w:val="center"/>
          </w:tcPr>
          <w:p w14:paraId="18ABD764">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推荐理由</w:t>
            </w:r>
          </w:p>
        </w:tc>
        <w:tc>
          <w:tcPr>
            <w:tcW w:w="7915" w:type="dxa"/>
            <w:gridSpan w:val="19"/>
            <w:tcBorders>
              <w:bottom w:val="single" w:color="auto" w:sz="4" w:space="0"/>
            </w:tcBorders>
            <w:vAlign w:val="center"/>
          </w:tcPr>
          <w:p w14:paraId="46DE2097">
            <w:pPr>
              <w:autoSpaceDE/>
              <w:autoSpaceDN/>
              <w:spacing w:line="300" w:lineRule="exact"/>
              <w:jc w:val="both"/>
              <w:rPr>
                <w:rFonts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本文通过剖析中国新闻奖获奖作品</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整个评论区都认识的上饶交警</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，认为典型报道要想出新出彩</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可尝试三个维度的创新</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在传播模式上，采用</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议题共创</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凝聚价值共识，形成传受双方共同参与的传播新生态</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在生产机制上，构建UGC与PGC的协同生态，依托多维度二次创作延伸传播链条，形成内容生产的良性循环</w:t>
            </w:r>
            <w:r>
              <w:rPr>
                <w:rFonts w:hint="eastAsia" w:ascii="仿宋" w:hAnsi="仿宋" w:eastAsia="仿宋" w:cs="Times New Roman"/>
                <w:color w:val="000000"/>
                <w:kern w:val="2"/>
                <w:sz w:val="21"/>
                <w:szCs w:val="21"/>
                <w:lang w:eastAsia="zh-CN"/>
              </w:rPr>
              <w:t>；</w:t>
            </w:r>
            <w:r>
              <w:rPr>
                <w:rFonts w:hint="eastAsia" w:ascii="仿宋" w:hAnsi="仿宋" w:eastAsia="仿宋" w:cs="Times New Roman"/>
                <w:color w:val="000000"/>
                <w:kern w:val="2"/>
                <w:sz w:val="21"/>
                <w:szCs w:val="21"/>
              </w:rPr>
              <w:t xml:space="preserve">在价值引领上，完成从被动适应到主动塑造的转型。                               </w:t>
            </w:r>
          </w:p>
          <w:p w14:paraId="6373E3FB">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p>
          <w:p w14:paraId="6C6CDA17">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spacing w:val="-2"/>
                <w:kern w:val="2"/>
                <w:sz w:val="21"/>
                <w:szCs w:val="21"/>
              </w:rPr>
              <w:t xml:space="preserve">                           单位主要负责人签名：</w:t>
            </w:r>
            <w:r>
              <w:rPr>
                <w:rFonts w:hint="eastAsia" w:ascii="仿宋" w:hAnsi="仿宋" w:eastAsia="仿宋" w:cs="Times New Roman"/>
                <w:color w:val="000000"/>
                <w:kern w:val="2"/>
                <w:sz w:val="21"/>
                <w:szCs w:val="21"/>
              </w:rPr>
              <w:t>（盖单位公章）</w:t>
            </w:r>
          </w:p>
          <w:p w14:paraId="77D3B750">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r>
              <w:rPr>
                <w:rFonts w:ascii="仿宋" w:hAnsi="仿宋" w:eastAsia="仿宋" w:cs="Times New Roman"/>
                <w:color w:val="000000"/>
                <w:kern w:val="2"/>
                <w:sz w:val="21"/>
                <w:szCs w:val="21"/>
              </w:rPr>
              <w:t xml:space="preserve">年  </w:t>
            </w:r>
            <w:r>
              <w:rPr>
                <w:rFonts w:hint="eastAsia" w:ascii="仿宋" w:hAnsi="仿宋" w:eastAsia="仿宋" w:cs="Times New Roman"/>
                <w:color w:val="000000"/>
                <w:kern w:val="2"/>
                <w:sz w:val="21"/>
                <w:szCs w:val="21"/>
              </w:rPr>
              <w:t>月</w:t>
            </w:r>
            <w:r>
              <w:rPr>
                <w:rFonts w:ascii="仿宋" w:hAnsi="仿宋" w:eastAsia="仿宋" w:cs="Times New Roman"/>
                <w:color w:val="000000"/>
                <w:kern w:val="2"/>
                <w:sz w:val="21"/>
                <w:szCs w:val="21"/>
              </w:rPr>
              <w:t xml:space="preserve">  </w:t>
            </w:r>
            <w:r>
              <w:rPr>
                <w:rFonts w:hint="eastAsia" w:ascii="仿宋" w:hAnsi="仿宋" w:eastAsia="仿宋" w:cs="Times New Roman"/>
                <w:color w:val="000000"/>
                <w:kern w:val="2"/>
                <w:sz w:val="21"/>
                <w:szCs w:val="21"/>
              </w:rPr>
              <w:t>日</w:t>
            </w:r>
          </w:p>
        </w:tc>
      </w:tr>
      <w:tr w14:paraId="53CE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exact"/>
        </w:trPr>
        <w:tc>
          <w:tcPr>
            <w:tcW w:w="987" w:type="dxa"/>
            <w:gridSpan w:val="3"/>
            <w:tcBorders>
              <w:top w:val="single" w:color="auto" w:sz="4" w:space="0"/>
              <w:bottom w:val="single" w:color="auto" w:sz="4" w:space="0"/>
            </w:tcBorders>
            <w:vAlign w:val="center"/>
          </w:tcPr>
          <w:p w14:paraId="0A4BFF4B">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作者</w:t>
            </w:r>
          </w:p>
        </w:tc>
        <w:tc>
          <w:tcPr>
            <w:tcW w:w="1565" w:type="dxa"/>
            <w:gridSpan w:val="6"/>
            <w:tcBorders>
              <w:top w:val="single" w:color="auto" w:sz="4" w:space="0"/>
              <w:bottom w:val="single" w:color="auto" w:sz="4" w:space="0"/>
            </w:tcBorders>
            <w:vAlign w:val="center"/>
          </w:tcPr>
          <w:p w14:paraId="208446DF">
            <w:pPr>
              <w:autoSpaceDE/>
              <w:autoSpaceDN/>
              <w:spacing w:line="300" w:lineRule="exact"/>
              <w:jc w:val="both"/>
              <w:rPr>
                <w:rFonts w:hint="eastAsia" w:ascii="仿宋" w:hAnsi="仿宋" w:eastAsia="仿宋" w:cs="Times New Roman"/>
                <w:color w:val="000000"/>
                <w:kern w:val="2"/>
                <w:sz w:val="32"/>
                <w:szCs w:val="21"/>
                <w:lang w:eastAsia="zh-CN"/>
              </w:rPr>
            </w:pPr>
            <w:r>
              <w:rPr>
                <w:rFonts w:hint="eastAsia" w:ascii="仿宋" w:hAnsi="仿宋" w:eastAsia="仿宋" w:cs="Times New Roman"/>
                <w:color w:val="000000"/>
                <w:kern w:val="2"/>
                <w:sz w:val="21"/>
                <w:szCs w:val="21"/>
                <w:lang w:eastAsia="zh-CN"/>
              </w:rPr>
              <w:t>蔡霞</w:t>
            </w:r>
          </w:p>
        </w:tc>
        <w:tc>
          <w:tcPr>
            <w:tcW w:w="992" w:type="dxa"/>
            <w:tcBorders>
              <w:top w:val="single" w:color="auto" w:sz="4" w:space="0"/>
              <w:bottom w:val="single" w:color="auto" w:sz="4" w:space="0"/>
            </w:tcBorders>
            <w:vAlign w:val="center"/>
          </w:tcPr>
          <w:p w14:paraId="6799B2B8">
            <w:pPr>
              <w:autoSpaceDE/>
              <w:autoSpaceDN/>
              <w:spacing w:line="300" w:lineRule="exact"/>
              <w:jc w:val="both"/>
              <w:rPr>
                <w:rFonts w:hint="eastAsia" w:ascii="仿宋" w:hAnsi="仿宋" w:eastAsia="仿宋" w:cs="Times New Roman"/>
                <w:color w:val="000000"/>
                <w:kern w:val="2"/>
                <w:sz w:val="32"/>
                <w:szCs w:val="21"/>
              </w:rPr>
            </w:pPr>
            <w:r>
              <w:rPr>
                <w:rFonts w:hint="eastAsia" w:ascii="华文中宋" w:hAnsi="华文中宋" w:eastAsia="华文中宋" w:cs="Times New Roman"/>
                <w:color w:val="000000"/>
                <w:kern w:val="2"/>
                <w:sz w:val="28"/>
              </w:rPr>
              <w:t>单位</w:t>
            </w:r>
          </w:p>
        </w:tc>
        <w:tc>
          <w:tcPr>
            <w:tcW w:w="2693" w:type="dxa"/>
            <w:gridSpan w:val="6"/>
            <w:tcBorders>
              <w:top w:val="single" w:color="auto" w:sz="4" w:space="0"/>
              <w:bottom w:val="single" w:color="auto" w:sz="4" w:space="0"/>
            </w:tcBorders>
            <w:vAlign w:val="center"/>
          </w:tcPr>
          <w:p w14:paraId="5AF68587">
            <w:pPr>
              <w:autoSpaceDE/>
              <w:autoSpaceDN/>
              <w:spacing w:line="300" w:lineRule="exact"/>
              <w:jc w:val="both"/>
              <w:rPr>
                <w:rFonts w:hint="eastAsia" w:ascii="仿宋" w:hAnsi="仿宋" w:eastAsia="仿宋" w:cs="Times New Roman"/>
                <w:color w:val="000000"/>
                <w:kern w:val="2"/>
                <w:sz w:val="21"/>
                <w:szCs w:val="21"/>
                <w:lang w:eastAsia="zh-CN"/>
              </w:rPr>
            </w:pPr>
            <w:r>
              <w:rPr>
                <w:rFonts w:hint="eastAsia" w:ascii="仿宋" w:hAnsi="仿宋" w:eastAsia="仿宋" w:cs="Times New Roman"/>
                <w:color w:val="000000"/>
                <w:kern w:val="2"/>
                <w:sz w:val="21"/>
                <w:szCs w:val="21"/>
                <w:lang w:eastAsia="zh-CN"/>
              </w:rPr>
              <w:t>上饶市融媒体中心</w:t>
            </w:r>
          </w:p>
        </w:tc>
        <w:tc>
          <w:tcPr>
            <w:tcW w:w="993" w:type="dxa"/>
            <w:gridSpan w:val="2"/>
            <w:tcBorders>
              <w:top w:val="single" w:color="auto" w:sz="4" w:space="0"/>
              <w:bottom w:val="single" w:color="auto" w:sz="4" w:space="0"/>
            </w:tcBorders>
            <w:vAlign w:val="center"/>
          </w:tcPr>
          <w:p w14:paraId="2064D8F0">
            <w:pPr>
              <w:autoSpaceDE/>
              <w:autoSpaceDN/>
              <w:spacing w:line="300" w:lineRule="exact"/>
              <w:jc w:val="both"/>
              <w:rPr>
                <w:rFonts w:hint="eastAsia" w:ascii="仿宋" w:hAnsi="仿宋" w:eastAsia="仿宋" w:cs="Times New Roman"/>
                <w:color w:val="000000"/>
                <w:kern w:val="2"/>
                <w:sz w:val="21"/>
                <w:szCs w:val="21"/>
              </w:rPr>
            </w:pPr>
            <w:r>
              <w:rPr>
                <w:rFonts w:hint="eastAsia" w:ascii="华文中宋" w:hAnsi="华文中宋" w:eastAsia="华文中宋" w:cs="Times New Roman"/>
                <w:color w:val="000000"/>
                <w:kern w:val="2"/>
                <w:sz w:val="28"/>
              </w:rPr>
              <w:t>手机</w:t>
            </w:r>
          </w:p>
        </w:tc>
        <w:tc>
          <w:tcPr>
            <w:tcW w:w="2126" w:type="dxa"/>
            <w:gridSpan w:val="6"/>
            <w:tcBorders>
              <w:top w:val="single" w:color="auto" w:sz="4" w:space="0"/>
              <w:bottom w:val="single" w:color="auto" w:sz="4" w:space="0"/>
            </w:tcBorders>
            <w:vAlign w:val="center"/>
          </w:tcPr>
          <w:p w14:paraId="758EFC6F">
            <w:pPr>
              <w:autoSpaceDE/>
              <w:autoSpaceDN/>
              <w:spacing w:line="300" w:lineRule="exact"/>
              <w:jc w:val="both"/>
              <w:rPr>
                <w:rFonts w:hint="default"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17839228902</w:t>
            </w:r>
          </w:p>
        </w:tc>
      </w:tr>
    </w:tbl>
    <w:p w14:paraId="671B9194">
      <w:pPr>
        <w:widowControl/>
        <w:autoSpaceDE/>
        <w:autoSpaceDN/>
        <w:spacing w:before="120" w:beforeLines="50" w:after="120" w:afterLines="50" w:line="560" w:lineRule="exact"/>
        <w:jc w:val="both"/>
        <w:rPr>
          <w:rFonts w:hint="eastAsia" w:ascii="仿宋" w:hAnsi="仿宋" w:eastAsia="仿宋" w:cs="CESI仿宋-GB2312"/>
          <w:kern w:val="2"/>
          <w:sz w:val="18"/>
          <w:szCs w:val="18"/>
        </w:rPr>
        <w:sectPr>
          <w:pgSz w:w="11906" w:h="16838"/>
          <w:pgMar w:top="1440" w:right="1800" w:bottom="1440" w:left="1800" w:header="851" w:footer="992" w:gutter="0"/>
          <w:cols w:space="425" w:num="1"/>
          <w:docGrid w:type="lines" w:linePitch="312" w:charSpace="0"/>
        </w:sectPr>
      </w:pPr>
      <w:r>
        <w:rPr>
          <w:rFonts w:hint="eastAsia" w:ascii="仿宋" w:hAnsi="仿宋" w:eastAsia="仿宋" w:cs="CESI仿宋-GB2312"/>
          <w:kern w:val="2"/>
          <w:sz w:val="18"/>
          <w:szCs w:val="18"/>
        </w:rPr>
        <w:t>为了规范统一，按照提示填写。不要改变表格格式、字体字号，填写内容用仿宋5号字体。</w:t>
      </w:r>
    </w:p>
    <w:p w14:paraId="5404117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8"/>
          <w:szCs w:val="28"/>
          <w:lang w:eastAsia="zh-CN"/>
        </w:rPr>
        <w:sectPr>
          <w:pgSz w:w="11906" w:h="16838"/>
          <w:pgMar w:top="1440" w:right="1797" w:bottom="1440" w:left="1797" w:header="851" w:footer="992" w:gutter="0"/>
          <w:cols w:space="0" w:num="1"/>
          <w:rtlGutter w:val="0"/>
          <w:docGrid w:type="linesAndChars" w:linePitch="410" w:charSpace="-601"/>
        </w:sectPr>
      </w:pPr>
      <w:r>
        <w:rPr>
          <w:rFonts w:hint="eastAsia" w:ascii="仿宋" w:hAnsi="仿宋" w:eastAsia="仿宋" w:cs="仿宋"/>
          <w:sz w:val="28"/>
          <w:szCs w:val="28"/>
          <w:lang w:eastAsia="zh-CN"/>
        </w:rPr>
        <w:drawing>
          <wp:inline distT="0" distB="0" distL="114300" distR="114300">
            <wp:extent cx="5273040" cy="7441565"/>
            <wp:effectExtent l="0" t="0" r="3810" b="6985"/>
            <wp:docPr id="3" name="图片 3" descr="让“全民偶遇”成为“价值共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让“全民偶遇”成为“价值共鸣”1"/>
                    <pic:cNvPicPr>
                      <a:picLocks noChangeAspect="1"/>
                    </pic:cNvPicPr>
                  </pic:nvPicPr>
                  <pic:blipFill>
                    <a:blip r:embed="rId4"/>
                    <a:stretch>
                      <a:fillRect/>
                    </a:stretch>
                  </pic:blipFill>
                  <pic:spPr>
                    <a:xfrm>
                      <a:off x="0" y="0"/>
                      <a:ext cx="5273040" cy="744156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71135" cy="7045325"/>
            <wp:effectExtent l="0" t="0" r="5715" b="3175"/>
            <wp:docPr id="2" name="图片 2" descr="让“全民偶遇”成为“价值共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让“全民偶遇”成为“价值共鸣”2"/>
                    <pic:cNvPicPr>
                      <a:picLocks noChangeAspect="1"/>
                    </pic:cNvPicPr>
                  </pic:nvPicPr>
                  <pic:blipFill>
                    <a:blip r:embed="rId5"/>
                    <a:stretch>
                      <a:fillRect/>
                    </a:stretch>
                  </pic:blipFill>
                  <pic:spPr>
                    <a:xfrm>
                      <a:off x="0" y="0"/>
                      <a:ext cx="5271135" cy="704532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0340" cy="7468870"/>
            <wp:effectExtent l="0" t="0" r="16510" b="17780"/>
            <wp:docPr id="1" name="图片 1" descr="让“全民偶遇”成为“价值共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让“全民偶遇”成为“价值共鸣”3"/>
                    <pic:cNvPicPr>
                      <a:picLocks noChangeAspect="1"/>
                    </pic:cNvPicPr>
                  </pic:nvPicPr>
                  <pic:blipFill>
                    <a:blip r:embed="rId6"/>
                    <a:stretch>
                      <a:fillRect/>
                    </a:stretch>
                  </pic:blipFill>
                  <pic:spPr>
                    <a:xfrm>
                      <a:off x="0" y="0"/>
                      <a:ext cx="5260340" cy="7468870"/>
                    </a:xfrm>
                    <a:prstGeom prst="rect">
                      <a:avLst/>
                    </a:prstGeom>
                  </pic:spPr>
                </pic:pic>
              </a:graphicData>
            </a:graphic>
          </wp:inline>
        </w:drawing>
      </w:r>
    </w:p>
    <w:p w14:paraId="1B6AED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新闻业务研究</w:t>
      </w:r>
    </w:p>
    <w:p w14:paraId="2CEECFB6">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lang w:eastAsia="zh-CN"/>
        </w:rPr>
      </w:pPr>
    </w:p>
    <w:p w14:paraId="1C838D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让“全民偶遇”成为“价值共鸣”</w:t>
      </w:r>
    </w:p>
    <w:p w14:paraId="36114E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——典型报道《整个评论区都认识的上饶交警》的创新实践</w:t>
      </w:r>
    </w:p>
    <w:p w14:paraId="115610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作者：陈华英 孙志红 蔡 霞</w:t>
      </w:r>
    </w:p>
    <w:p w14:paraId="024A10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编辑：吴汉</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姜迪飞</w:t>
      </w:r>
    </w:p>
    <w:p w14:paraId="10FB055F">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p>
    <w:p w14:paraId="551FBF7F">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进入全媒体传播时代，社交媒体成为了信息传播和公众参与公共讨论的重要平台。传统信息和舆论传播方式的颠覆，给传统主流媒体带来了严峻挑战：简单的单向灌输往往在喧嚣的舆论场中“失声”，甚至容易引发受众的逆反心理。</w:t>
      </w:r>
    </w:p>
    <w:p w14:paraId="5210BE5C">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在此背景下，如何让承载主流价值的正能量报道“破圈”，真正触达并打动广大受众，成为地方媒体必须直面的课题。江西省上饶市融媒体中心作为地方主流媒体，一直在积极探索融合转型之路，推出的典型报道《整个评论区都认识的上饶交警》便是在这一探索过程中诞生的一次成功实践。该融合报道通过精准的议题设置、人格化的叙事策略、跨平台的互动传播，让平凡辅警郑全卫的十年坚守被广泛看见，相关话题登上抖音热榜TOP1，相关报道被人民日报、新华社、央视等央媒接连转载、转发，全网阅读量超12.1亿，点赞量超4000万，成为“以正能量澎湃大流量”的典型宣传案例，最终推动人物获二级嘉奖，报道本身获评第35届中国新闻奖典型报道三等奖，实现“新闻价值”与“社会价值”的双重落地。本文以该融合报道为研究对象，从选题挖掘、叙事传播、经验启示三个维度，浅析基层典型人物报道的创新路径。</w:t>
      </w:r>
    </w:p>
    <w:p w14:paraId="5E6EB32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选题挖掘：从“偶然抓拍”到“必然聚焦”</w:t>
      </w:r>
    </w:p>
    <w:p w14:paraId="60C437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选题是新闻报道的“灵魂”，典型人物报道的选题能否贴近群众、契合社会语境，直接决定报道的传播基础。《整个评论区都认识的上饶交警》融合报道的选题策划，是报道团队在“群众互动反馈”中捕捉到“自发共鸣点”，进行多轮策划并深度挖掘，体现了“以受众为中心”的策划思维。</w:t>
      </w:r>
    </w:p>
    <w:p w14:paraId="0342F02D">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（一）网友自发传播中的新闻线索</w:t>
      </w:r>
    </w:p>
    <w:p w14:paraId="457E2BEF">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2024年7月9日，上饶网友“@程意”在抖音平台发布了一则几秒钟的短视频：一名上饶交警左手搀扶老人，右肩帮老人挑着扁担，在人流与车流中缓缓穿行。在发布之初，这条无脚本、无修饰的“随手拍”因事迹平凡，被平台海量的视频淹没。</w:t>
      </w:r>
    </w:p>
    <w:p w14:paraId="7BF8A54C">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报道团队敏锐意识到其新闻价值：不同于短期热点人物，视频中交警郑全卫的助人行为并非“偶然善举”，而是跨越十余年的“日常坚守”。于是，第一时间推出短视频、消息、通讯等融合报道，在中心各平台推出。“他经常牵起我儿子的手过红绿灯。”“这个叔叔一直都在帮着送小朋友到马路对面，帮爷爷奶奶推轮椅。”……随着评论区“记忆碎片”的持续叠加</w:t>
      </w:r>
      <w:r>
        <w:rPr>
          <w:rFonts w:hint="eastAsia" w:ascii="仿宋" w:hAnsi="仿宋" w:eastAsia="仿宋" w:cs="仿宋"/>
          <w:sz w:val="28"/>
          <w:szCs w:val="28"/>
          <w:lang w:eastAsia="zh-CN"/>
        </w:rPr>
        <w:t>，</w:t>
      </w:r>
      <w:r>
        <w:rPr>
          <w:rFonts w:hint="eastAsia" w:ascii="仿宋" w:hAnsi="仿宋" w:eastAsia="仿宋" w:cs="仿宋"/>
          <w:sz w:val="28"/>
          <w:szCs w:val="28"/>
        </w:rPr>
        <w:t>稿件评论区里，网友纷纷留言、晒照片列举郑全卫的助人事迹，还有网友将他的助人瞬间画成漫画，将他助人的照片拼成六宫格、九宫格等等，一点点拼凑出了郑全卫的善良画像和温暖底色。</w:t>
      </w:r>
    </w:p>
    <w:p w14:paraId="1F19FAB8">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这种“全民见证”的传播态势，打破了传统典型报道“媒体单向塑造”的模式，具备了“从群众中来、到群众中去”的天然传播基因。视频和消息、通讯报道发布一周后，在网友“爱的接力”下，话题#整个评论区都认识的上饶警察#引爆流量，共同推动郑全卫登上平台热搜榜。相关报道被人民日报、新华社、央视等央媒纷纷转发推送，形成主流媒体与自媒体同频共振的报道态势。</w:t>
      </w:r>
    </w:p>
    <w:p w14:paraId="7F0A1F1D">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（二）选题的实践价值</w:t>
      </w:r>
    </w:p>
    <w:p w14:paraId="24CFD9FE">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1．人物身份的“安全感”：郑全卫是一名普普通通的辅警，不是一般意义上重大事件的英雄人物，但是他在平凡工作岗位上十年如一日，生动真实、可触可感，极易使普通群众感到“身边人、身边事”的代入感，真真切切地体验到身边的安定与幸福。</w:t>
      </w:r>
    </w:p>
    <w:p w14:paraId="613E09B3">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2．时代需求的“契合度”：在这个快节奏、高压力的现代社会，人们对“温暖感”的渴求日益强烈。牵孩子过马路、帮老人挑担、帮残疾人推轮椅，这些郑全卫身上细小却实在的美好点滴，唤起了人们对平凡岗位上不平凡付出的敬意，恰好契合了社会对城市温度的情感渴求。</w:t>
      </w:r>
    </w:p>
    <w:p w14:paraId="7732E787">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二、</w:t>
      </w:r>
      <w:r>
        <w:rPr>
          <w:rFonts w:hint="eastAsia" w:ascii="仿宋" w:hAnsi="仿宋" w:eastAsia="仿宋" w:cs="仿宋"/>
          <w:b/>
          <w:bCs/>
          <w:sz w:val="28"/>
          <w:szCs w:val="28"/>
        </w:rPr>
        <w:t>叙事传播：用“群众视角”构建共鸣</w:t>
      </w:r>
    </w:p>
    <w:p w14:paraId="25488286">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传统典型报道常陷入“高大全”“说教式”的叙事困境，而《整个评论区都认识的上饶交警》融合报道中，“网友评论”“市民讲述”成为报道的基石，通过“群众视角表达”“人格化叙事”“多元形式呈现”的叙事策略，构建“移动优先、话题引领、多态呈现”的传播格局，让郑全卫的形象从“新闻人物”变为“身边熟人”，让正能量产生大流量、好内容赢得高口碑。</w:t>
      </w:r>
    </w:p>
    <w:p w14:paraId="4204C7B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（一）“评论区里的好人”——用网友讲述还原“全民记忆”</w:t>
      </w:r>
    </w:p>
    <w:p w14:paraId="26F0E7E5">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在报道初期，我们最大限度地尊重、利用原始UGC内容，使其成为报道最坚实的信任基础。报道团队对抖音、微信、微博等平台上的网友留言进行系统梳理，筛选出具有典型性的记忆片段，推出了《热搜第一！整个评论区都认识的上饶警察，你刷到了吗》《人民警察，为人民》等作品，展现最鲜活的故事，让网友都成为故事的讲述者。这些来自不同群体的“私人记忆”，共同绘就出郑全卫的“日常画像”——他不是做一次好事，而是将服务融入每一个执勤瞬间，生动地诠释了“金杯银杯不如老百姓的口碑”。</w:t>
      </w:r>
    </w:p>
    <w:p w14:paraId="6961980A">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（二）“路口十年的坚守”——用深度采访挖掘“背后的坚持”</w:t>
      </w:r>
    </w:p>
    <w:p w14:paraId="44E17C6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在事件引发关注后，记者第一时间深入郑全卫的工作与生活，进行后续报道。在采访中，我们刻意挖掘那些视频镜头之外的细节，以细节叙事凸显人格魅力。搀扶老人时放手前要先提醒老人的工作习惯、一个4条长约30米的斑马线围成的执勤区域、常被路人亲切地喊一声“老郑”……这些细微之处，使郑全卫的形象更加血肉丰满。</w:t>
      </w:r>
    </w:p>
    <w:p w14:paraId="1E2812F8">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在报道过程中，团队还挖掘出郑全卫和师傅王明华之间的传承故事。王明华身为执勤30年的老交警，曾获“江西省劳动模范”称号，他带徒弟时言传身教：“以心换心，你对老百姓好，老百姓就会记住你！”这种师徒传承的叙事，将个人事迹延伸至精神传承，把单个典型扩充到群体形象，让人物形象更有厚度，也让“坚守”精神有了源头。</w:t>
      </w:r>
    </w:p>
    <w:p w14:paraId="7AF4D69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同时我们推出《“此刻我被感动了”》《“最美交警”美在哪儿》等内容，跳出“郑全卫”去看“郑全卫现象”，把这一凡人的微光当作城市文明的观察窗口，深度剖析、洞察根源，完成从新闻热点到城市文明符号的价值跃迁，为“大美上饶”的内涵注入蓬勃的生命力，实现“最美”意义的深刻跨越。</w:t>
      </w:r>
    </w:p>
    <w:p w14:paraId="5A13198C">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（三）“网友和媒体的互动”——用多元形式引发“裂变效应”</w:t>
      </w:r>
    </w:p>
    <w:p w14:paraId="10D72129">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深度报道后，上饶市融媒体中心没有止步，根据抖音、视频号、微博、B站等各大平台的属性特点和算法，将深度报道继续拆分成多个新闻角度介入传播，吸引用户从“被动围观者”成为“主动传播者”，放大“自来水”用户效应，同时持续运营#整个评论区都认识的上饶交警#等互动话题，鼓励网友持续发布相关视频，形成“发现—报道—再发现”的良性循环。</w:t>
      </w:r>
    </w:p>
    <w:p w14:paraId="4E604DD1">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bCs/>
          <w:sz w:val="28"/>
          <w:szCs w:val="28"/>
        </w:rPr>
      </w:pPr>
      <w:r>
        <w:rPr>
          <w:rFonts w:hint="eastAsia" w:ascii="仿宋" w:hAnsi="仿宋" w:eastAsia="仿宋" w:cs="仿宋"/>
          <w:sz w:val="28"/>
          <w:szCs w:val="28"/>
        </w:rPr>
        <w:t>在此事件传播中，#整个评论区都认识的上饶警察##现实版安欣##郑全卫的师傅是老劳模##郑全卫二级嘉奖#等10多个话题接续登上抖音热榜，微博、视频号等也形成了#整个评论区都认识的上饶警察##考古最美上饶交警#等多个热点，整个事件的热度持续了近一个月。网友和媒体共同创造、传播、讨论，让报道从“单一叙事”变为“多元共鸣”，形成互动型叙事传播，在公众中持续激发共同情感，凝聚同频力量[1]，引发了“最美交警”传播的“裂变效应”。</w:t>
      </w:r>
    </w:p>
    <w:p w14:paraId="0F968D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三、</w:t>
      </w:r>
      <w:r>
        <w:rPr>
          <w:rFonts w:hint="eastAsia" w:ascii="仿宋" w:hAnsi="仿宋" w:eastAsia="仿宋" w:cs="仿宋"/>
          <w:b/>
          <w:bCs/>
          <w:sz w:val="28"/>
          <w:szCs w:val="28"/>
        </w:rPr>
        <w:t>报道成效与启示：主流媒体融合创新的路径探索</w:t>
      </w:r>
    </w:p>
    <w:p w14:paraId="4FBB83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整个评论区都认识的上饶交警》融合报道推出后，在社会上引发热烈反响。广大网友在点赞的同时，热心建议将其转正，2024年7月19日，上饶市公安局党委授予郑全卫同志二级嘉奖；2025年11月5日，该典型报道获评第35届中国新闻奖，实现“新闻价值”与“社会价值”的双重落地。</w:t>
      </w:r>
    </w:p>
    <w:p w14:paraId="76D47A19">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党的二十届三中全会《决定》提出“推进主流媒体系统性变革”，标志着我国主流媒体的改革进入深水区。在数字化、信息化、智能化浪潮不断翻涌的当前与未来，主流媒体要适应碎片化、视频化、社交化的媒介生态，必须调整传统的叙事方式，善于运用互联网思维，打通多种媒体平台，构建多元传播策略，提升多元素、跨媒介、互动化叙事能力，让主流价值得到优化传播[2]。</w:t>
      </w:r>
    </w:p>
    <w:p w14:paraId="0834501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一）向下扎根与向上升华的统一。该融合报道表明，主流媒体要实现有效传播，必须坚持向下扎根，深入基层去发现鲜活素材。郑全卫并非刻意塑造的典型，是从日常生活中自然“生长”出来的真实人物，报道团队摒弃了“主题先行”的创作模式，跟随网友的线索不断挖掘、呈现真实的故事。这种基层视角让报道充满了生活的温度。与此同时，报道没有停留在事迹罗列层面，而是不断向上升华，将郑全卫的个人行为提升到职业道德、城市形象乃至社会风尚的高度，实现精神共鸣、价值升华。</w:t>
      </w:r>
    </w:p>
    <w:p w14:paraId="355A15D5">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二）小切口与大主题的辩证法。融合报道熟练运用了“小切口见大主题”的创作方法。身为辅警的郑全卫在日常工作中的一次帮忙，是这次的“小切口”；经过深度挖掘，我们从这个小小温暖中窥见了社会的大课题、文明的“大主题”。一条扁担、一声哨音、一次搀扶，这些微小细节，鲜活展现正能量行为如何在日常坚守中熠熠生辉；评论区的一句留言、一幅漫画、一张九宫格，体现出大众对敬业精神和社会责任感的无限向往。这种“以小见大”的叙事策略，避免了宏大叙事的空泛，增强了主流价值传播的感染力。</w:t>
      </w:r>
    </w:p>
    <w:p w14:paraId="3E9DC79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三）坚守本色与求变的平衡。在媒体格局剧烈变革的今天，该融合报道展现了坚守与创新的平衡之道。一方面，报道恪守新闻真实性的原则底线，所有内容都出自郑全卫的真实工作和市民的真实反馈；并坚持“内容为王”，在话题发酵后，迅速开启深度挖掘，以劳模师傅带出“最美交警”的独家视角，率先推出深度报道《“最美”的传承》。另一方面，报道在表现形式、传播策略上大胆求变，在充分发挥传统媒体优势的基础上，主动适应融媒体时代的传播规律，根据不同平台的属性特点，构建差异化传播矩阵，提升了报道的内涵和张力。</w:t>
      </w:r>
    </w:p>
    <w:p w14:paraId="147B6D51">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结语：</w:t>
      </w:r>
    </w:p>
    <w:p w14:paraId="55818F09">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整个评论区都认识的上饶交警》融合报道的成功实践，是一次情感叙事的胜利。在信息过载的融媒体环境中，它证明了真诚、温暖、有趣的正能量内容依然拥有强大的市场，更证明了基层正能量报道并不是不能出“爆款”，关键在于是否真正“以人民为中心”——选题来自人民的关注，叙事聚焦人民的记忆，传播依靠人民的参与。郑全卫的故事之所以能引发广泛共鸣，本质上是因为他的“十年坚守”，恰恰是“人民对美好生活向往”的生动体现。</w:t>
      </w:r>
    </w:p>
    <w:p w14:paraId="39CD8DDD">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地方媒体作为“本土信息枢纽”，拥有挖掘“身边典型”的天然优势。只要坚持“以人民为中心”的创作导向，将“官方视角”转化为“群众视角”，将“宏大叙事”转化为“细节</w:t>
      </w:r>
    </w:p>
    <w:p w14:paraId="50507F96">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故事”，与受众真诚对话，用创新的手法讲好身边的故事，我们就能在打通“两个舆论场”的道路上迈出坚实的步伐，让主流声音更加响亮、更加动人。</w:t>
      </w:r>
    </w:p>
    <w:p w14:paraId="1F33B4F4">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p>
    <w:p w14:paraId="149F4A2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参考文献</w:t>
      </w:r>
    </w:p>
    <w:p w14:paraId="3065C69E">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马佳铮. 互联网时代叙事传播能力的构建与提升策略[J]. 出版与印刷，2024(4)：39-46．</w:t>
      </w:r>
    </w:p>
    <w:p w14:paraId="7CE4B9D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sz w:val="28"/>
          <w:szCs w:val="28"/>
        </w:rPr>
      </w:pPr>
      <w:r>
        <w:rPr>
          <w:rFonts w:hint="eastAsia" w:ascii="仿宋" w:hAnsi="仿宋" w:eastAsia="仿宋" w:cs="仿宋"/>
          <w:sz w:val="28"/>
          <w:szCs w:val="28"/>
        </w:rPr>
        <w:t>崔林，王国霞.《做强优质内容 彰显传播优势——主流媒体融合内容创新路径探析》[J].中国新闻传播研究，2024年（1）：3-13.</w:t>
      </w:r>
    </w:p>
    <w:p w14:paraId="0D2F2A29">
      <w:pPr>
        <w:widowControl/>
        <w:autoSpaceDE/>
        <w:autoSpaceDN/>
        <w:spacing w:before="120" w:beforeLines="50" w:after="120" w:afterLines="50" w:line="560" w:lineRule="exact"/>
        <w:jc w:val="both"/>
        <w:rPr>
          <w:rFonts w:hint="eastAsia" w:ascii="仿宋" w:hAnsi="仿宋" w:eastAsia="仿宋" w:cs="CESI仿宋-GB2312"/>
          <w:kern w:val="2"/>
          <w:sz w:val="18"/>
          <w:szCs w:val="18"/>
        </w:rPr>
        <w:sectPr>
          <w:pgSz w:w="11906" w:h="16838"/>
          <w:pgMar w:top="1440" w:right="1797" w:bottom="1440" w:left="1797" w:header="851" w:footer="992" w:gutter="0"/>
          <w:cols w:space="0" w:num="1"/>
          <w:rtlGutter w:val="0"/>
          <w:docGrid w:type="linesAndChars" w:linePitch="410" w:charSpace="-601"/>
        </w:sectPr>
      </w:pPr>
    </w:p>
    <w:p w14:paraId="4E76C5F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CE0C81"/>
    <w:multiLevelType w:val="singleLevel"/>
    <w:tmpl w:val="C9CE0C81"/>
    <w:lvl w:ilvl="0" w:tentative="0">
      <w:start w:val="1"/>
      <w:numFmt w:val="decimal"/>
      <w:suff w:val="space"/>
      <w:lvlText w:val="[%1]"/>
      <w:lvlJc w:val="left"/>
    </w:lvl>
  </w:abstractNum>
  <w:abstractNum w:abstractNumId="1">
    <w:nsid w:val="0590BB8E"/>
    <w:multiLevelType w:val="singleLevel"/>
    <w:tmpl w:val="0590BB8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139"/>
  <w:drawingGridVerticalSpacing w:val="20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13643D"/>
    <w:rsid w:val="008B1170"/>
    <w:rsid w:val="0A447FE6"/>
    <w:rsid w:val="0D9B05A3"/>
    <w:rsid w:val="1F635B0F"/>
    <w:rsid w:val="2AFF1AE5"/>
    <w:rsid w:val="36A47E30"/>
    <w:rsid w:val="3CB80C06"/>
    <w:rsid w:val="3F13643D"/>
    <w:rsid w:val="4C0A133C"/>
    <w:rsid w:val="4E393586"/>
    <w:rsid w:val="524811DB"/>
    <w:rsid w:val="5A055057"/>
    <w:rsid w:val="66293129"/>
    <w:rsid w:val="6ED36C87"/>
    <w:rsid w:val="6F525DFE"/>
    <w:rsid w:val="74C27582"/>
    <w:rsid w:val="77641C20"/>
    <w:rsid w:val="7B9B5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5013</Words>
  <Characters>5120</Characters>
  <Lines>0</Lines>
  <Paragraphs>0</Paragraphs>
  <TotalTime>33</TotalTime>
  <ScaleCrop>false</ScaleCrop>
  <LinksUpToDate>false</LinksUpToDate>
  <CharactersWithSpaces>5259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2026-01-06T07:45:00Z</dcterms:created>
  <dc:creator>Milu</dc:creator>
  <cp:lastModifiedBy>w灵动</cp:lastModifiedBy>
  <dcterms:modified xsi:type="dcterms:W3CDTF">2026-01-13T03:19:09Z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FCE3EFB9D3CB40F395933D404DC2EA20_11</vt:lpwstr>
  </property>
  <property fmtid="{D5CDD505-2E9C-101B-9397-08002B2CF9AE}" pid="4" name="KSOTemplateDocerSaveRecord">
    <vt:lpwstr>eyJoZGlkIjoiNGE1YmUyODNiZDdhOWM4ZTY5NTdiOGQ1YTI3MGE1NjUiLCJ1c2VySWQiOiI3OTk2OTMxNDkifQ==</vt:lpwstr>
  </property>
</Properties>
</file>